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color w:val="D4A63A"/>
          <w:sz w:val="40"/>
        </w:rPr>
        <w:t>ConsuTrain</w:t>
      </w:r>
    </w:p>
    <w:p>
      <w:pPr>
        <w:jc w:val="center"/>
      </w:pPr>
      <w:r>
        <w:rPr>
          <w:rFonts w:ascii="Arial" w:hAnsi="Arial" w:eastAsia="Arial"/>
          <w:b/>
          <w:color w:val="0F2747"/>
          <w:sz w:val="48"/>
        </w:rPr>
        <w:t>نموذج سياسة الجودة</w:t>
      </w:r>
    </w:p>
    <w:p>
      <w:pPr>
        <w:jc w:val="center"/>
      </w:pPr>
      <w:r>
        <w:rPr>
          <w:rFonts w:ascii="Arial" w:hAnsi="Arial" w:eastAsia="Arial"/>
          <w:sz w:val="24"/>
        </w:rPr>
        <w:t>قالب مجاني قابل للتعديل لإعداد سياسة جودة واضحة وربطها بأهداف جودة قابلة للقياس</w:t>
      </w:r>
    </w:p>
    <w:p/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383"/>
        <w:gridCol w:w="5383"/>
      </w:tblGrid>
      <w:tr>
        <w:tc>
          <w:tcPr>
            <w:tcW w:type="dxa" w:w="538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الحقل</w:t>
            </w:r>
          </w:p>
        </w:tc>
        <w:tc>
          <w:tcPr>
            <w:tcW w:type="dxa" w:w="538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البيان</w:t>
            </w:r>
          </w:p>
        </w:tc>
      </w:tr>
      <w:tr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اسم الجهة</w:t>
            </w:r>
          </w:p>
        </w:tc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</w:tr>
      <w:tr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عنوان الوثيقة</w:t>
            </w:r>
          </w:p>
        </w:tc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سياسة الجودة</w:t>
            </w:r>
          </w:p>
        </w:tc>
      </w:tr>
      <w:tr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رقم الوثيقة</w:t>
            </w:r>
          </w:p>
        </w:tc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</w:tr>
      <w:tr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رقم الإصدار</w:t>
            </w:r>
          </w:p>
        </w:tc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تاريخ الإصدار</w:t>
            </w:r>
          </w:p>
        </w:tc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</w:tr>
      <w:tr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تاريخ آخر مراجعة</w:t>
            </w:r>
          </w:p>
        </w:tc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</w:tr>
      <w:tr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مالك الوثيقة</w:t>
            </w:r>
          </w:p>
        </w:tc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</w:tr>
      <w:tr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الجهة المعتمدة</w:t>
            </w:r>
          </w:p>
        </w:tc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</w:tr>
    </w:tbl>
    <w:p/>
    <w:p>
      <w:r>
        <w:br w:type="page"/>
      </w:r>
    </w:p>
    <w:p>
      <w:pPr>
        <w:jc w:val="right"/>
      </w:pPr>
      <w:r>
        <w:rPr>
          <w:rFonts w:ascii="Arial" w:hAnsi="Arial" w:eastAsia="Arial"/>
          <w:b/>
          <w:color w:val="0F2747"/>
          <w:sz w:val="36"/>
        </w:rPr>
        <w:t>1. مقدمة السياسة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383"/>
        <w:gridCol w:w="5383"/>
      </w:tblGrid>
      <w:tr>
        <w:tc>
          <w:tcPr>
            <w:tcW w:type="dxa" w:w="538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العنصر</w:t>
            </w:r>
          </w:p>
        </w:tc>
        <w:tc>
          <w:tcPr>
            <w:tcW w:type="dxa" w:w="538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البيان</w:t>
            </w:r>
          </w:p>
        </w:tc>
      </w:tr>
      <w:tr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نبذة عن الجهة</w:t>
            </w:r>
          </w:p>
        </w:tc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</w:tr>
      <w:tr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الغرض من سياسة الجودة</w:t>
            </w:r>
          </w:p>
        </w:tc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توضيح التزام الجهة بتطبيق متطلبات الجودة وتحسين الأداء ورفع رضا المستفيدين.</w:t>
            </w:r>
          </w:p>
        </w:tc>
      </w:tr>
      <w:tr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مجال تطبيق السياسة</w:t>
            </w:r>
          </w:p>
        </w:tc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</w:tr>
      <w:tr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الفئات المعنية بتطبيق السياسة</w:t>
            </w:r>
          </w:p>
        </w:tc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الإدارة العليا، مسؤولو الجودة، مدراء الإدارات، العاملون، ومقدمو الخدمات عند الحاجة.</w:t>
            </w:r>
          </w:p>
        </w:tc>
      </w:tr>
    </w:tbl>
    <w:p/>
    <w:p>
      <w:pPr>
        <w:jc w:val="right"/>
      </w:pPr>
      <w:r>
        <w:rPr>
          <w:rFonts w:ascii="Arial" w:hAnsi="Arial" w:eastAsia="Arial"/>
          <w:b/>
          <w:color w:val="0F2747"/>
          <w:sz w:val="36"/>
        </w:rPr>
        <w:t>2. نص سياسة الجودة</w:t>
      </w:r>
    </w:p>
    <w:p>
      <w:pPr>
        <w:spacing w:after="120"/>
        <w:jc w:val="right"/>
      </w:pPr>
      <w:r>
        <w:rPr>
          <w:rFonts w:ascii="Arial" w:hAnsi="Arial" w:eastAsia="Arial"/>
          <w:b w:val="0"/>
          <w:sz w:val="22"/>
        </w:rPr>
        <w:t>تلتزم [اسم الجهة] بتقديم خدمات / منتجات تحقق متطلبات العملاء والمستفيدين والمتطلبات النظامية والتنظيمية ذات العلاقة، من خلال تطبيق نظام إدارة جودة فعال، وتحسين العمليات، ورفع كفاءة الأداء، وتعزيز رضا المستفيدين، ودعم ثقافة التحسين المستمر.</w:t>
      </w:r>
    </w:p>
    <w:p>
      <w:pPr>
        <w:spacing w:after="120"/>
        <w:jc w:val="right"/>
      </w:pPr>
      <w:r>
        <w:rPr>
          <w:rFonts w:ascii="Arial" w:hAnsi="Arial" w:eastAsia="Arial"/>
          <w:b w:val="0"/>
          <w:sz w:val="22"/>
        </w:rPr>
        <w:t>وتلتزم الجهة بمراجعة هذه السياسة بشكل دوري، وترجمتها إلى أهداف جودة قابلة للقياس والمتابعة، بما يضمن أن تكون السياسة وثيقة عملية مرتبطة بالأداء، وليست مجرد نص عام.</w:t>
      </w:r>
    </w:p>
    <w:p>
      <w:pPr>
        <w:jc w:val="right"/>
      </w:pPr>
      <w:r>
        <w:rPr>
          <w:rFonts w:ascii="Arial" w:hAnsi="Arial" w:eastAsia="Arial"/>
          <w:b/>
          <w:color w:val="0F2747"/>
          <w:sz w:val="36"/>
        </w:rPr>
        <w:t>3. التزامات الجهة في مجال الجودة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589"/>
        <w:gridCol w:w="3589"/>
        <w:gridCol w:w="3589"/>
      </w:tblGrid>
      <w:tr>
        <w:tc>
          <w:tcPr>
            <w:tcW w:type="dxa" w:w="3589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رقم</w:t>
            </w:r>
          </w:p>
        </w:tc>
        <w:tc>
          <w:tcPr>
            <w:tcW w:type="dxa" w:w="3589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الالتزام</w:t>
            </w:r>
          </w:p>
        </w:tc>
        <w:tc>
          <w:tcPr>
            <w:tcW w:type="dxa" w:w="3589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التوضيح</w:t>
            </w:r>
          </w:p>
        </w:tc>
      </w:tr>
      <w:tr>
        <w:tc>
          <w:tcPr>
            <w:tcW w:type="dxa" w:w="3589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</w:t>
            </w:r>
          </w:p>
        </w:tc>
        <w:tc>
          <w:tcPr>
            <w:tcW w:type="dxa" w:w="3589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الالتزام بمتطلبات العملاء والمستفيدين</w:t>
            </w:r>
          </w:p>
        </w:tc>
        <w:tc>
          <w:tcPr>
            <w:tcW w:type="dxa" w:w="3589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فهم الاحتياجات والتوقعات والعمل على تلبيتها وقياس مستوى الرضا.</w:t>
            </w:r>
          </w:p>
        </w:tc>
      </w:tr>
      <w:tr>
        <w:tc>
          <w:tcPr>
            <w:tcW w:type="dxa" w:w="3589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2</w:t>
            </w:r>
          </w:p>
        </w:tc>
        <w:tc>
          <w:tcPr>
            <w:tcW w:type="dxa" w:w="3589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الالتزام بالمتطلبات النظامية والتنظيمية</w:t>
            </w:r>
          </w:p>
        </w:tc>
        <w:tc>
          <w:tcPr>
            <w:tcW w:type="dxa" w:w="3589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تطبيق الأنظمة واللوائح والمعايير والمتطلبات التعاقدية ذات العلاقة.</w:t>
            </w:r>
          </w:p>
        </w:tc>
      </w:tr>
      <w:tr>
        <w:tc>
          <w:tcPr>
            <w:tcW w:type="dxa" w:w="3589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3</w:t>
            </w:r>
          </w:p>
        </w:tc>
        <w:tc>
          <w:tcPr>
            <w:tcW w:type="dxa" w:w="3589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تحسين العمليات</w:t>
            </w:r>
          </w:p>
        </w:tc>
        <w:tc>
          <w:tcPr>
            <w:tcW w:type="dxa" w:w="3589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مراجعة وتطوير العمليات وتبسيط الإجراءات وتقليل الهدر والأخطاء.</w:t>
            </w:r>
          </w:p>
        </w:tc>
      </w:tr>
      <w:tr>
        <w:tc>
          <w:tcPr>
            <w:tcW w:type="dxa" w:w="3589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4</w:t>
            </w:r>
          </w:p>
        </w:tc>
        <w:tc>
          <w:tcPr>
            <w:tcW w:type="dxa" w:w="3589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رفع كفاءة العاملين</w:t>
            </w:r>
          </w:p>
        </w:tc>
        <w:tc>
          <w:tcPr>
            <w:tcW w:type="dxa" w:w="3589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دعم التدريب والتوعية وتطوير المهارات المرتبطة بالجودة.</w:t>
            </w:r>
          </w:p>
        </w:tc>
      </w:tr>
      <w:tr>
        <w:tc>
          <w:tcPr>
            <w:tcW w:type="dxa" w:w="3589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5</w:t>
            </w:r>
          </w:p>
        </w:tc>
        <w:tc>
          <w:tcPr>
            <w:tcW w:type="dxa" w:w="3589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قياس الأداء</w:t>
            </w:r>
          </w:p>
        </w:tc>
        <w:tc>
          <w:tcPr>
            <w:tcW w:type="dxa" w:w="3589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استخدام مؤشرات أداء لمتابعة النتائج واتخاذ قرارات مبنية على بيانات.</w:t>
            </w:r>
          </w:p>
        </w:tc>
      </w:tr>
      <w:tr>
        <w:tc>
          <w:tcPr>
            <w:tcW w:type="dxa" w:w="3589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6</w:t>
            </w:r>
          </w:p>
        </w:tc>
        <w:tc>
          <w:tcPr>
            <w:tcW w:type="dxa" w:w="3589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التحسين المستمر</w:t>
            </w:r>
          </w:p>
        </w:tc>
        <w:tc>
          <w:tcPr>
            <w:tcW w:type="dxa" w:w="3589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معالجة الملاحظات وعدم المطابقة وفرص التحسين بآلية موثقة.</w:t>
            </w:r>
          </w:p>
        </w:tc>
      </w:tr>
    </w:tbl>
    <w:p/>
    <w:p>
      <w:r>
        <w:br w:type="page"/>
      </w:r>
    </w:p>
    <w:p>
      <w:pPr>
        <w:jc w:val="right"/>
      </w:pPr>
      <w:r>
        <w:rPr>
          <w:rFonts w:ascii="Arial" w:hAnsi="Arial" w:eastAsia="Arial"/>
          <w:b/>
          <w:color w:val="0F2747"/>
          <w:sz w:val="36"/>
        </w:rPr>
        <w:t>4. أهداف الجودة المرتبطة بالسياسة</w:t>
      </w:r>
    </w:p>
    <w:p>
      <w:pPr>
        <w:spacing w:after="120"/>
        <w:jc w:val="right"/>
      </w:pPr>
      <w:r>
        <w:rPr>
          <w:rFonts w:ascii="Arial" w:hAnsi="Arial" w:eastAsia="Arial"/>
          <w:b w:val="0"/>
          <w:sz w:val="22"/>
        </w:rPr>
        <w:t>تُترجم سياسة الجودة إلى أهداف جودة واضحة حتى يمكن قياس الالتزام الفعلي بها. يفضل أن تكون الأهداف محددة، قابلة للقياس، مرتبطة بالعمليات، ومراجعة بشكل دوري.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794"/>
        <w:gridCol w:w="1794"/>
        <w:gridCol w:w="1794"/>
        <w:gridCol w:w="1794"/>
        <w:gridCol w:w="1794"/>
        <w:gridCol w:w="1794"/>
      </w:tblGrid>
      <w:tr>
        <w:tc>
          <w:tcPr>
            <w:tcW w:type="dxa" w:w="1794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رقم</w:t>
            </w:r>
          </w:p>
        </w:tc>
        <w:tc>
          <w:tcPr>
            <w:tcW w:type="dxa" w:w="1794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هدف الجودة</w:t>
            </w:r>
          </w:p>
        </w:tc>
        <w:tc>
          <w:tcPr>
            <w:tcW w:type="dxa" w:w="1794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المؤشر المرتبط</w:t>
            </w:r>
          </w:p>
        </w:tc>
        <w:tc>
          <w:tcPr>
            <w:tcW w:type="dxa" w:w="1794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المستهدف</w:t>
            </w:r>
          </w:p>
        </w:tc>
        <w:tc>
          <w:tcPr>
            <w:tcW w:type="dxa" w:w="1794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المسؤول</w:t>
            </w:r>
          </w:p>
        </w:tc>
        <w:tc>
          <w:tcPr>
            <w:tcW w:type="dxa" w:w="1794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دورية المتابعة</w:t>
            </w:r>
          </w:p>
        </w:tc>
      </w:tr>
      <w:tr>
        <w:tc>
          <w:tcPr>
            <w:tcW w:type="dxa" w:w="179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</w:t>
            </w:r>
          </w:p>
        </w:tc>
        <w:tc>
          <w:tcPr>
            <w:tcW w:type="dxa" w:w="179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تحسين رضا المستفيدين</w:t>
            </w:r>
          </w:p>
        </w:tc>
        <w:tc>
          <w:tcPr>
            <w:tcW w:type="dxa" w:w="179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نسبة رضا المستفيدين</w:t>
            </w:r>
          </w:p>
        </w:tc>
        <w:tc>
          <w:tcPr>
            <w:tcW w:type="dxa" w:w="179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لا تقل عن [ ]%</w:t>
            </w:r>
          </w:p>
        </w:tc>
        <w:tc>
          <w:tcPr>
            <w:tcW w:type="dxa" w:w="179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  <w:tc>
          <w:tcPr>
            <w:tcW w:type="dxa" w:w="179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ربع سنوي</w:t>
            </w:r>
          </w:p>
        </w:tc>
      </w:tr>
      <w:tr>
        <w:tc>
          <w:tcPr>
            <w:tcW w:type="dxa" w:w="1794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2</w:t>
            </w:r>
          </w:p>
        </w:tc>
        <w:tc>
          <w:tcPr>
            <w:tcW w:type="dxa" w:w="1794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تحسين الالتزام بالإجراءات</w:t>
            </w:r>
          </w:p>
        </w:tc>
        <w:tc>
          <w:tcPr>
            <w:tcW w:type="dxa" w:w="1794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نسبة الالتزام بالإجراءات المعتمدة</w:t>
            </w:r>
          </w:p>
        </w:tc>
        <w:tc>
          <w:tcPr>
            <w:tcW w:type="dxa" w:w="1794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لا تقل عن [ ]%</w:t>
            </w:r>
          </w:p>
        </w:tc>
        <w:tc>
          <w:tcPr>
            <w:tcW w:type="dxa" w:w="1794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  <w:tc>
          <w:tcPr>
            <w:tcW w:type="dxa" w:w="1794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شهري / ربع سنوي</w:t>
            </w:r>
          </w:p>
        </w:tc>
      </w:tr>
      <w:tr>
        <w:tc>
          <w:tcPr>
            <w:tcW w:type="dxa" w:w="179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3</w:t>
            </w:r>
          </w:p>
        </w:tc>
        <w:tc>
          <w:tcPr>
            <w:tcW w:type="dxa" w:w="179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تقليل حالات عدم المطابقة</w:t>
            </w:r>
          </w:p>
        </w:tc>
        <w:tc>
          <w:tcPr>
            <w:tcW w:type="dxa" w:w="179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عدد أو نسبة حالات عدم المطابقة</w:t>
            </w:r>
          </w:p>
        </w:tc>
        <w:tc>
          <w:tcPr>
            <w:tcW w:type="dxa" w:w="179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خفض بنسبة [ ]%</w:t>
            </w:r>
          </w:p>
        </w:tc>
        <w:tc>
          <w:tcPr>
            <w:tcW w:type="dxa" w:w="179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  <w:tc>
          <w:tcPr>
            <w:tcW w:type="dxa" w:w="179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ربع سنوي</w:t>
            </w:r>
          </w:p>
        </w:tc>
      </w:tr>
      <w:tr>
        <w:tc>
          <w:tcPr>
            <w:tcW w:type="dxa" w:w="1794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4</w:t>
            </w:r>
          </w:p>
        </w:tc>
        <w:tc>
          <w:tcPr>
            <w:tcW w:type="dxa" w:w="1794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تحسين زمن تقديم الخدمة</w:t>
            </w:r>
          </w:p>
        </w:tc>
        <w:tc>
          <w:tcPr>
            <w:tcW w:type="dxa" w:w="1794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متوسط زمن إنجاز الخدمة</w:t>
            </w:r>
          </w:p>
        </w:tc>
        <w:tc>
          <w:tcPr>
            <w:tcW w:type="dxa" w:w="1794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لا يتجاوز [ ] يوم / ساعة</w:t>
            </w:r>
          </w:p>
        </w:tc>
        <w:tc>
          <w:tcPr>
            <w:tcW w:type="dxa" w:w="1794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  <w:tc>
          <w:tcPr>
            <w:tcW w:type="dxa" w:w="1794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شهري</w:t>
            </w:r>
          </w:p>
        </w:tc>
      </w:tr>
      <w:tr>
        <w:tc>
          <w:tcPr>
            <w:tcW w:type="dxa" w:w="179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5</w:t>
            </w:r>
          </w:p>
        </w:tc>
        <w:tc>
          <w:tcPr>
            <w:tcW w:type="dxa" w:w="179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رفع فاعلية الإجراءات التصحيحية</w:t>
            </w:r>
          </w:p>
        </w:tc>
        <w:tc>
          <w:tcPr>
            <w:tcW w:type="dxa" w:w="179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نسبة الإجراءات المغلقة بعد التحقق من الفاعلية</w:t>
            </w:r>
          </w:p>
        </w:tc>
        <w:tc>
          <w:tcPr>
            <w:tcW w:type="dxa" w:w="179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لا تقل عن [ ]%</w:t>
            </w:r>
          </w:p>
        </w:tc>
        <w:tc>
          <w:tcPr>
            <w:tcW w:type="dxa" w:w="179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  <w:tc>
          <w:tcPr>
            <w:tcW w:type="dxa" w:w="179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ربع سنوي</w:t>
            </w:r>
          </w:p>
        </w:tc>
      </w:tr>
    </w:tbl>
    <w:p/>
    <w:p>
      <w:pPr>
        <w:jc w:val="right"/>
      </w:pPr>
      <w:r>
        <w:rPr>
          <w:rFonts w:ascii="Arial" w:hAnsi="Arial" w:eastAsia="Arial"/>
          <w:b/>
          <w:color w:val="0F2747"/>
          <w:sz w:val="36"/>
        </w:rPr>
        <w:t>5. آلية متابعة أهداف الجودة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383"/>
        <w:gridCol w:w="5383"/>
      </w:tblGrid>
      <w:tr>
        <w:tc>
          <w:tcPr>
            <w:tcW w:type="dxa" w:w="538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العنصر</w:t>
            </w:r>
          </w:p>
        </w:tc>
        <w:tc>
          <w:tcPr>
            <w:tcW w:type="dxa" w:w="538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طريقة التطبيق</w:t>
            </w:r>
          </w:p>
        </w:tc>
      </w:tr>
      <w:tr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تحديد خط الأساس</w:t>
            </w:r>
          </w:p>
        </w:tc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تحديد الوضع الحالي قبل وضع المستهدفات النهائية.</w:t>
            </w:r>
          </w:p>
        </w:tc>
      </w:tr>
      <w:tr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تعيين مالك لكل هدف</w:t>
            </w:r>
          </w:p>
        </w:tc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تحديد جهة أو شخص مسؤول عن متابعة الهدف ورفع نتائجه.</w:t>
            </w:r>
          </w:p>
        </w:tc>
      </w:tr>
      <w:tr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ربط الأهداف بالتقارير</w:t>
            </w:r>
          </w:p>
        </w:tc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إدراج نتائج أهداف الجودة ضمن تقارير الأداء أو مراجعة الإدارة.</w:t>
            </w:r>
          </w:p>
        </w:tc>
      </w:tr>
      <w:tr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تحليل الانحرافات</w:t>
            </w:r>
          </w:p>
        </w:tc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تحديد أسباب عدم تحقق المستهدفات واقتراح إجراءات تصحيحية أو تحسينات.</w:t>
            </w:r>
          </w:p>
        </w:tc>
      </w:tr>
      <w:tr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المراجعة الدورية</w:t>
            </w:r>
          </w:p>
        </w:tc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مراجعة الأهداف والمستهدفات عند تغير السياق أو العمليات أو توقعات المستفيدين.</w:t>
            </w:r>
          </w:p>
        </w:tc>
      </w:tr>
    </w:tbl>
    <w:p/>
    <w:p>
      <w:pPr>
        <w:jc w:val="right"/>
      </w:pPr>
      <w:r>
        <w:rPr>
          <w:rFonts w:ascii="Arial" w:hAnsi="Arial" w:eastAsia="Arial"/>
          <w:b/>
          <w:color w:val="0F2747"/>
          <w:sz w:val="36"/>
        </w:rPr>
        <w:t>6. مسؤوليات تطبيق السياسة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383"/>
        <w:gridCol w:w="5383"/>
      </w:tblGrid>
      <w:tr>
        <w:tc>
          <w:tcPr>
            <w:tcW w:type="dxa" w:w="538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الجهة / الدور</w:t>
            </w:r>
          </w:p>
        </w:tc>
        <w:tc>
          <w:tcPr>
            <w:tcW w:type="dxa" w:w="538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المسؤولية</w:t>
            </w:r>
          </w:p>
        </w:tc>
      </w:tr>
      <w:tr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الإدارة العليا</w:t>
            </w:r>
          </w:p>
        </w:tc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اعتماد السياسة، دعم تطبيقها، توفير الموارد، ومراجعة نتائج الجودة.</w:t>
            </w:r>
          </w:p>
        </w:tc>
      </w:tr>
      <w:tr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مسؤول الجودة</w:t>
            </w:r>
          </w:p>
        </w:tc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متابعة تطبيق السياسة، تحديثها، ومتابعة أهداف الجودة والمؤشرات.</w:t>
            </w:r>
          </w:p>
        </w:tc>
      </w:tr>
      <w:tr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مدراء الإدارات</w:t>
            </w:r>
          </w:p>
        </w:tc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تطبيق السياسة داخل الإدارات والعمليات، ومعالجة الملاحظات.</w:t>
            </w:r>
          </w:p>
        </w:tc>
      </w:tr>
      <w:tr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الموظفون</w:t>
            </w:r>
          </w:p>
        </w:tc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الالتزام بالإجراءات، الحفاظ على جودة العمل، والإبلاغ عن فرص التحسين.</w:t>
            </w:r>
          </w:p>
        </w:tc>
      </w:tr>
      <w:tr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فريق التدقيق الداخلي</w:t>
            </w:r>
          </w:p>
        </w:tc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التحقق من الالتزام بالسياسة ومتطلبات نظام إدارة الجودة.</w:t>
            </w:r>
          </w:p>
        </w:tc>
      </w:tr>
    </w:tbl>
    <w:p/>
    <w:p>
      <w:pPr>
        <w:jc w:val="right"/>
      </w:pPr>
      <w:r>
        <w:rPr>
          <w:rFonts w:ascii="Arial" w:hAnsi="Arial" w:eastAsia="Arial"/>
          <w:b/>
          <w:color w:val="0F2747"/>
          <w:sz w:val="36"/>
        </w:rPr>
        <w:t>7. نشر السياسة والتوعية بها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691"/>
        <w:gridCol w:w="2691"/>
        <w:gridCol w:w="2691"/>
        <w:gridCol w:w="2691"/>
      </w:tblGrid>
      <w:tr>
        <w:tc>
          <w:tcPr>
            <w:tcW w:type="dxa" w:w="269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الوسيلة</w:t>
            </w:r>
          </w:p>
        </w:tc>
        <w:tc>
          <w:tcPr>
            <w:tcW w:type="dxa" w:w="269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طريقة التطبيق</w:t>
            </w:r>
          </w:p>
        </w:tc>
        <w:tc>
          <w:tcPr>
            <w:tcW w:type="dxa" w:w="269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المسؤول</w:t>
            </w:r>
          </w:p>
        </w:tc>
        <w:tc>
          <w:tcPr>
            <w:tcW w:type="dxa" w:w="269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دورية التحديث</w:t>
            </w:r>
          </w:p>
        </w:tc>
      </w:tr>
      <w:tr>
        <w:tc>
          <w:tcPr>
            <w:tcW w:type="dxa" w:w="269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البريد الداخلي</w:t>
            </w:r>
          </w:p>
        </w:tc>
        <w:tc>
          <w:tcPr>
            <w:tcW w:type="dxa" w:w="269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إرسال السياسة للعاملين عند الاعتماد أو التحديث</w:t>
            </w:r>
          </w:p>
        </w:tc>
        <w:tc>
          <w:tcPr>
            <w:tcW w:type="dxa" w:w="269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  <w:tc>
          <w:tcPr>
            <w:tcW w:type="dxa" w:w="269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عند التحديث</w:t>
            </w:r>
          </w:p>
        </w:tc>
      </w:tr>
      <w:tr>
        <w:tc>
          <w:tcPr>
            <w:tcW w:type="dxa" w:w="269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لوحة الإعلانات / الموقع الداخلي</w:t>
            </w:r>
          </w:p>
        </w:tc>
        <w:tc>
          <w:tcPr>
            <w:tcW w:type="dxa" w:w="269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إتاحة السياسة للموظفين والمعنيين</w:t>
            </w:r>
          </w:p>
        </w:tc>
        <w:tc>
          <w:tcPr>
            <w:tcW w:type="dxa" w:w="269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  <w:tc>
          <w:tcPr>
            <w:tcW w:type="dxa" w:w="269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عند الحاجة</w:t>
            </w:r>
          </w:p>
        </w:tc>
      </w:tr>
      <w:tr>
        <w:tc>
          <w:tcPr>
            <w:tcW w:type="dxa" w:w="269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الاجتماعات</w:t>
            </w:r>
          </w:p>
        </w:tc>
        <w:tc>
          <w:tcPr>
            <w:tcW w:type="dxa" w:w="269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شرح السياسة للفرق المعنية وربطها بالأهداف</w:t>
            </w:r>
          </w:p>
        </w:tc>
        <w:tc>
          <w:tcPr>
            <w:tcW w:type="dxa" w:w="269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  <w:tc>
          <w:tcPr>
            <w:tcW w:type="dxa" w:w="269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سنويًا</w:t>
            </w:r>
          </w:p>
        </w:tc>
      </w:tr>
      <w:tr>
        <w:tc>
          <w:tcPr>
            <w:tcW w:type="dxa" w:w="269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التدريب والتوعية</w:t>
            </w:r>
          </w:p>
        </w:tc>
        <w:tc>
          <w:tcPr>
            <w:tcW w:type="dxa" w:w="269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تضمين السياسة في برامج الجودة والتوجيه للموظفين</w:t>
            </w:r>
          </w:p>
        </w:tc>
        <w:tc>
          <w:tcPr>
            <w:tcW w:type="dxa" w:w="269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  <w:tc>
          <w:tcPr>
            <w:tcW w:type="dxa" w:w="269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حسب الخطة</w:t>
            </w:r>
          </w:p>
        </w:tc>
      </w:tr>
    </w:tbl>
    <w:p/>
    <w:p>
      <w:r>
        <w:br w:type="page"/>
      </w:r>
    </w:p>
    <w:p>
      <w:pPr>
        <w:jc w:val="right"/>
      </w:pPr>
      <w:r>
        <w:rPr>
          <w:rFonts w:ascii="Arial" w:hAnsi="Arial" w:eastAsia="Arial"/>
          <w:b/>
          <w:color w:val="0F2747"/>
          <w:sz w:val="36"/>
        </w:rPr>
        <w:t>8. مراجعة وتحديث السياسة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383"/>
        <w:gridCol w:w="5383"/>
      </w:tblGrid>
      <w:tr>
        <w:tc>
          <w:tcPr>
            <w:tcW w:type="dxa" w:w="538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العنصر</w:t>
            </w:r>
          </w:p>
        </w:tc>
        <w:tc>
          <w:tcPr>
            <w:tcW w:type="dxa" w:w="538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البيان</w:t>
            </w:r>
          </w:p>
        </w:tc>
      </w:tr>
      <w:tr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دورية المراجعة</w:t>
            </w:r>
          </w:p>
        </w:tc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سنويًا أو عند حدوث تغيير مهم في السياق أو المتطلبات أو العمليات.</w:t>
            </w:r>
          </w:p>
        </w:tc>
      </w:tr>
      <w:tr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أسباب التحديث</w:t>
            </w:r>
          </w:p>
        </w:tc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تغيير استراتيجي / متطلبات جديدة / نتائج تدقيق / ملاحظات أداء / شكاوى متكررة.</w:t>
            </w:r>
          </w:p>
        </w:tc>
      </w:tr>
      <w:tr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المسؤول عن المراجعة</w:t>
            </w:r>
          </w:p>
        </w:tc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</w:tr>
      <w:tr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الجهة المعتمدة للتحديث</w:t>
            </w:r>
          </w:p>
        </w:tc>
        <w:tc>
          <w:tcPr>
            <w:tcW w:type="dxa" w:w="538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</w:tr>
      <w:tr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طريقة توثيق التحديث</w:t>
            </w:r>
          </w:p>
        </w:tc>
        <w:tc>
          <w:tcPr>
            <w:tcW w:type="dxa" w:w="538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تحديث سجل الإصدارات والتعديلات وإبلاغ المعنيين.</w:t>
            </w:r>
          </w:p>
        </w:tc>
      </w:tr>
    </w:tbl>
    <w:p/>
    <w:p>
      <w:pPr>
        <w:jc w:val="right"/>
      </w:pPr>
      <w:r>
        <w:rPr>
          <w:rFonts w:ascii="Arial" w:hAnsi="Arial" w:eastAsia="Arial"/>
          <w:b/>
          <w:color w:val="0F2747"/>
          <w:sz w:val="36"/>
        </w:rPr>
        <w:t>9. سجل الإصدارات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153"/>
        <w:gridCol w:w="2153"/>
        <w:gridCol w:w="2153"/>
        <w:gridCol w:w="2153"/>
        <w:gridCol w:w="2153"/>
      </w:tblGrid>
      <w:tr>
        <w:tc>
          <w:tcPr>
            <w:tcW w:type="dxa" w:w="215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رقم الإصدار</w:t>
            </w:r>
          </w:p>
        </w:tc>
        <w:tc>
          <w:tcPr>
            <w:tcW w:type="dxa" w:w="215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تاريخ الإصدار</w:t>
            </w:r>
          </w:p>
        </w:tc>
        <w:tc>
          <w:tcPr>
            <w:tcW w:type="dxa" w:w="215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وصف التعديل</w:t>
            </w:r>
          </w:p>
        </w:tc>
        <w:tc>
          <w:tcPr>
            <w:tcW w:type="dxa" w:w="215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معد التعديل</w:t>
            </w:r>
          </w:p>
        </w:tc>
        <w:tc>
          <w:tcPr>
            <w:tcW w:type="dxa" w:w="215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المعتمد</w:t>
            </w:r>
          </w:p>
        </w:tc>
      </w:tr>
      <w:tr>
        <w:tc>
          <w:tcPr>
            <w:tcW w:type="dxa" w:w="21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1.0</w:t>
            </w:r>
          </w:p>
        </w:tc>
        <w:tc>
          <w:tcPr>
            <w:tcW w:type="dxa" w:w="21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  <w:tc>
          <w:tcPr>
            <w:tcW w:type="dxa" w:w="21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إصدار أول</w:t>
            </w:r>
          </w:p>
        </w:tc>
        <w:tc>
          <w:tcPr>
            <w:tcW w:type="dxa" w:w="21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  <w:tc>
          <w:tcPr>
            <w:tcW w:type="dxa" w:w="21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</w:tr>
      <w:tr>
        <w:tc>
          <w:tcPr>
            <w:tcW w:type="dxa" w:w="21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1.1</w:t>
            </w:r>
          </w:p>
        </w:tc>
        <w:tc>
          <w:tcPr>
            <w:tcW w:type="dxa" w:w="21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  <w:tc>
          <w:tcPr>
            <w:tcW w:type="dxa" w:w="21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  <w:tc>
          <w:tcPr>
            <w:tcW w:type="dxa" w:w="21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  <w:tc>
          <w:tcPr>
            <w:tcW w:type="dxa" w:w="21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</w:tr>
    </w:tbl>
    <w:p/>
    <w:p>
      <w:pPr>
        <w:jc w:val="right"/>
      </w:pPr>
      <w:r>
        <w:rPr>
          <w:rFonts w:ascii="Arial" w:hAnsi="Arial" w:eastAsia="Arial"/>
          <w:b/>
          <w:color w:val="0F2747"/>
          <w:sz w:val="36"/>
        </w:rPr>
        <w:t>10. الاعتماد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691"/>
        <w:gridCol w:w="2691"/>
        <w:gridCol w:w="2691"/>
        <w:gridCol w:w="2691"/>
      </w:tblGrid>
      <w:tr>
        <w:tc>
          <w:tcPr>
            <w:tcW w:type="dxa" w:w="269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الاسم</w:t>
            </w:r>
          </w:p>
        </w:tc>
        <w:tc>
          <w:tcPr>
            <w:tcW w:type="dxa" w:w="269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الصفة</w:t>
            </w:r>
          </w:p>
        </w:tc>
        <w:tc>
          <w:tcPr>
            <w:tcW w:type="dxa" w:w="269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التوقيع</w:t>
            </w:r>
          </w:p>
        </w:tc>
        <w:tc>
          <w:tcPr>
            <w:tcW w:type="dxa" w:w="269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التاريخ</w:t>
            </w:r>
          </w:p>
        </w:tc>
      </w:tr>
      <w:tr>
        <w:tc>
          <w:tcPr>
            <w:tcW w:type="dxa" w:w="269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  <w:tc>
          <w:tcPr>
            <w:tcW w:type="dxa" w:w="269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معد الوثيقة</w:t>
            </w:r>
          </w:p>
        </w:tc>
        <w:tc>
          <w:tcPr>
            <w:tcW w:type="dxa" w:w="269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  <w:tc>
          <w:tcPr>
            <w:tcW w:type="dxa" w:w="269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</w:tr>
      <w:tr>
        <w:tc>
          <w:tcPr>
            <w:tcW w:type="dxa" w:w="269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  <w:tc>
          <w:tcPr>
            <w:tcW w:type="dxa" w:w="269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مسؤول الجودة</w:t>
            </w:r>
          </w:p>
        </w:tc>
        <w:tc>
          <w:tcPr>
            <w:tcW w:type="dxa" w:w="269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  <w:tc>
          <w:tcPr>
            <w:tcW w:type="dxa" w:w="269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</w:tr>
      <w:tr>
        <w:tc>
          <w:tcPr>
            <w:tcW w:type="dxa" w:w="269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  <w:tc>
          <w:tcPr>
            <w:tcW w:type="dxa" w:w="269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الإدارة العليا / الجهة المعتمدة</w:t>
            </w:r>
          </w:p>
        </w:tc>
        <w:tc>
          <w:tcPr>
            <w:tcW w:type="dxa" w:w="269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  <w:tc>
          <w:tcPr>
            <w:tcW w:type="dxa" w:w="269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794" w:right="737" w:bottom="794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color w:val="64748B"/>
        <w:sz w:val="16"/>
      </w:rPr>
      <w:t>ConsuTrain - نموذج مجاني قابل للتعديل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