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Modèle d'analyse SWOT</w:t>
      </w:r>
    </w:p>
    <w:p>
      <w:pPr>
        <w:spacing w:after="120"/>
      </w:pPr>
      <w:r>
        <w:t xml:space="preserve">Utilisez ce modèle pour structurer rapidement les forces, faiblesses, opportunités et menaces avant une décision, un projet ou une stratégie.</w:t>
      </w:r>
    </w:p>
    <w:p>
      <w:pPr>
        <w:pStyle w:val="Heading1"/>
      </w:pPr>
      <w:r>
        <w:t xml:space="preserve">Analyse SWOT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4680"/>
        <w:gridCol w:w="4680"/>
      </w:tblGrid>
      <w:tr>
        <w:tc>
          <w:tcPr>
            <w:tcW w:w="468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Axe</w:t>
            </w:r>
          </w:p>
        </w:tc>
        <w:tc>
          <w:tcPr>
            <w:tcW w:w="468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Observations à compléter</w:t>
            </w:r>
          </w:p>
        </w:tc>
      </w:tr>
      <w:tr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Forces</w:t>
            </w:r>
          </w:p>
        </w:tc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Éléments internes positifs : compétences, ressources, réputation, processus maîtrisés.</w:t>
            </w:r>
          </w:p>
        </w:tc>
      </w:tr>
      <w:tr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Faiblesses</w:t>
            </w:r>
          </w:p>
        </w:tc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Éléments internes à améliorer : limites de ressources, lacunes, dépendances, inefficacités.</w:t>
            </w:r>
          </w:p>
        </w:tc>
      </w:tr>
      <w:tr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Opportunités</w:t>
            </w:r>
          </w:p>
        </w:tc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Éléments externes favorables : évolution du marché, partenariats, nouvelles demandes, technologies.</w:t>
            </w:r>
          </w:p>
        </w:tc>
      </w:tr>
      <w:tr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Menaces</w:t>
            </w:r>
          </w:p>
        </w:tc>
        <w:tc>
          <w:tcPr>
            <w:tcW w:w="468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Éléments externes défavorables : concurrence, contraintes réglementaires, risques économiques, ruptures.</w:t>
            </w:r>
          </w:p>
        </w:tc>
      </w:tr>
    </w:tbl>
    <w:p>
      <w:pPr>
        <w:pStyle w:val="Heading1"/>
      </w:pPr>
      <w:r>
        <w:t xml:space="preserve">Synthèse des priorités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Priorité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Justification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Décision ou orientation</w:t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1</w:t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2</w:t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3</w:t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Heading1"/>
      </w:pPr>
      <w:r>
        <w:t xml:space="preserve">Actions recommandées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Action</w:t>
            </w:r>
          </w:p>
        </w:tc>
        <w:tc>
          <w:tcPr>
            <w:tcW w:w="23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Responsable</w:t>
            </w:r>
          </w:p>
        </w:tc>
        <w:tc>
          <w:tcPr>
            <w:tcW w:w="23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Échéance</w:t>
            </w:r>
          </w:p>
        </w:tc>
        <w:tc>
          <w:tcPr>
            <w:tcW w:w="23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Indicateur de suivi</w:t>
            </w:r>
          </w:p>
        </w:tc>
      </w:tr>
      <w:tr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3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FooterNote"/>
      </w:pPr>
      <w:r>
        <w:t xml:space="preserve">ConsuTrain - Modèle pratique à adapter selon le contexte de l'organisation.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pPr>
      <w:spacing w:after="120" w:line="280" w:lineRule="auto"/>
    </w:pPr>
    <w:rPr>
      <w:rFonts w:ascii="Calibri" w:hAnsi="Calibri"/>
      <w:sz w:val="22"/>
      <w:color w:val="1F2937"/>
    </w:rPr>
  </w:style>
  <w:style w:type="paragraph" w:styleId="Title">
    <w:name w:val="Title"/>
    <w:basedOn w:val="Normal"/>
    <w:qFormat/>
    <w:pPr>
      <w:spacing w:after="180"/>
    </w:pPr>
    <w:rPr>
      <w:b/>
      <w:sz w:val="32"/>
      <w:color w:val="0B2545"/>
    </w:rPr>
  </w:style>
  <w:style w:type="paragraph" w:styleId="Heading1">
    <w:name w:val="heading 1"/>
    <w:basedOn w:val="Normal"/>
    <w:qFormat/>
    <w:pPr>
      <w:spacing w:before="240" w:after="120"/>
    </w:pPr>
    <w:rPr>
      <w:b/>
      <w:sz w:val="26"/>
      <w:color w:val="2E74B5"/>
    </w:rPr>
  </w:style>
  <w:style w:type="paragraph" w:styleId="FooterNote">
    <w:name w:val="Footer Note"/>
    <w:basedOn w:val="Normal"/>
    <w:pPr>
      <w:spacing w:before="180" w:after="0"/>
    </w:pPr>
    <w:rPr>
      <w:i/>
      <w:sz w:val="18"/>
      <w:color w:val="6B728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