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Modèle d'analyse PESTEL</w:t>
      </w:r>
    </w:p>
    <w:p>
      <w:pPr>
        <w:spacing w:after="120"/>
      </w:pPr>
      <w:r>
        <w:t xml:space="preserve">Utilisez ce modèle pour analyser l'environnement externe et convertir les facteurs observés en risques, opportunités et points de vigilance.</w:t>
      </w:r>
    </w:p>
    <w:p>
      <w:pPr>
        <w:pStyle w:val="Heading1"/>
      </w:pPr>
      <w:r>
        <w:t xml:space="preserve">Analyse des facteurs externes</w:t>
      </w:r>
    </w:p>
    <w:tbl>
      <w:tblPr>
        <w:tblW w:w="9360" w:type="dxa"/>
        <w:tblInd w:w="120" w:type="dxa"/>
        <w:tblLayout w:type="fixed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4" w:space="0" w:color="D7DEE8"/>
          <w:insideV w:val="single" w:sz="4" w:space="0" w:color="D7DEE8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w="1872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Dimension</w:t>
            </w:r>
          </w:p>
        </w:tc>
        <w:tc>
          <w:tcPr>
            <w:tcW w:w="1872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Facteur observé</w:t>
            </w:r>
          </w:p>
        </w:tc>
        <w:tc>
          <w:tcPr>
            <w:tcW w:w="1872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Impact potentiel</w:t>
            </w:r>
          </w:p>
        </w:tc>
        <w:tc>
          <w:tcPr>
            <w:tcW w:w="1872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Opportunité / Risque</w:t>
            </w:r>
          </w:p>
        </w:tc>
        <w:tc>
          <w:tcPr>
            <w:tcW w:w="1872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Action ou point de vigilance</w:t>
            </w:r>
          </w:p>
        </w:tc>
      </w:tr>
      <w:tr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Politique</w:t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Économique</w:t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Social</w:t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Technologique</w:t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Environnemental</w:t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>Légal</w:t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872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</w:tbl>
    <w:p>
      <w:pPr>
        <w:pStyle w:val="Heading1"/>
      </w:pPr>
      <w:r>
        <w:t xml:space="preserve">Synthèse</w:t>
      </w:r>
    </w:p>
    <w:tbl>
      <w:tblPr>
        <w:tblW w:w="9360" w:type="dxa"/>
        <w:tblInd w:w="120" w:type="dxa"/>
        <w:tblLayout w:type="fixed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4" w:space="0" w:color="D7DEE8"/>
          <w:insideV w:val="single" w:sz="4" w:space="0" w:color="D7DEE8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Hypothèse stratégique</w:t>
            </w:r>
          </w:p>
        </w:tc>
        <w:tc>
          <w:tcPr>
            <w:tcW w:w="312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Conséquence pour l'organisation</w:t>
            </w:r>
          </w:p>
        </w:tc>
        <w:tc>
          <w:tcPr>
            <w:tcW w:w="312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Action à prévoir</w:t>
            </w:r>
          </w:p>
        </w:tc>
      </w:tr>
      <w:tr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</w:tbl>
    <w:p>
      <w:pPr>
        <w:pStyle w:val="FooterNote"/>
      </w:pPr>
      <w:r>
        <w:t xml:space="preserve">ConsuTrain - Modèle pratique à adapter selon le contexte de l'organisation.</w:t>
      </w:r>
    </w:p>
    <w:sectPr>
      <w:pgSz w:w="12240" w:h="15840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qFormat/>
    <w:pPr>
      <w:spacing w:after="120" w:line="280" w:lineRule="auto"/>
    </w:pPr>
    <w:rPr>
      <w:rFonts w:ascii="Calibri" w:hAnsi="Calibri"/>
      <w:sz w:val="22"/>
      <w:color w:val="1F2937"/>
    </w:rPr>
  </w:style>
  <w:style w:type="paragraph" w:styleId="Title">
    <w:name w:val="Title"/>
    <w:basedOn w:val="Normal"/>
    <w:qFormat/>
    <w:pPr>
      <w:spacing w:after="180"/>
    </w:pPr>
    <w:rPr>
      <w:b/>
      <w:sz w:val="32"/>
      <w:color w:val="0B2545"/>
    </w:rPr>
  </w:style>
  <w:style w:type="paragraph" w:styleId="Heading1">
    <w:name w:val="heading 1"/>
    <w:basedOn w:val="Normal"/>
    <w:qFormat/>
    <w:pPr>
      <w:spacing w:before="240" w:after="120"/>
    </w:pPr>
    <w:rPr>
      <w:b/>
      <w:sz w:val="26"/>
      <w:color w:val="2E74B5"/>
    </w:rPr>
  </w:style>
  <w:style w:type="paragraph" w:styleId="FooterNote">
    <w:name w:val="Footer Note"/>
    <w:basedOn w:val="Normal"/>
    <w:pPr>
      <w:spacing w:before="180" w:after="0"/>
    </w:pPr>
    <w:rPr>
      <w:i/>
      <w:sz w:val="18"/>
      <w:color w:val="6B728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