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4E79"/>
          <w:sz w:val="22"/>
        </w:rPr>
        <w:t>ConsuTrain | Modèle gratuit</w:t>
      </w:r>
    </w:p>
    <w:p>
      <w:pPr>
        <w:jc w:val="center"/>
      </w:pPr>
      <w:r>
        <w:rPr>
          <w:rFonts w:ascii="Arial" w:hAnsi="Arial"/>
          <w:b/>
          <w:color w:val="17365D"/>
          <w:sz w:val="44"/>
        </w:rPr>
        <w:t>Checklist de revue du manuel des procédures</w:t>
      </w:r>
    </w:p>
    <w:p>
      <w:pPr>
        <w:jc w:val="center"/>
      </w:pPr>
      <w:r>
        <w:rPr>
          <w:rFonts w:ascii="Arial" w:hAnsi="Arial"/>
          <w:color w:val="505050"/>
          <w:sz w:val="21"/>
        </w:rPr>
        <w:t>Ressource gratuite de ConsuTrain pour vérifier l’exhaustivité du manuel, la clarté des processus, des procédures, des formulaires, des responsabilités et des modalités de maîtrise documentaire avant approbation ou diffusion.</w:t>
      </w:r>
    </w:p>
    <w:p/>
    <w:p>
      <w:pPr>
        <w:pStyle w:val="Heading1"/>
      </w:pPr>
      <w:r>
        <w:rPr>
          <w:rFonts w:ascii="Arial" w:hAnsi="Arial"/>
          <w:b/>
          <w:color w:val="17365D"/>
          <w:sz w:val="26"/>
        </w:rPr>
        <w:t>Mode d’utilisation</w:t>
      </w:r>
    </w:p>
    <w:p>
      <w:pPr>
        <w:pStyle w:val="ListBullet"/>
      </w:pPr>
      <w:r>
        <w:rPr>
          <w:rFonts w:ascii="Arial" w:hAnsi="Arial"/>
          <w:sz w:val="19"/>
        </w:rPr>
        <w:t>Utilisez cette checklist avant l’approbation ou la diffusion du manuel des procédures.</w:t>
      </w:r>
    </w:p>
    <w:p>
      <w:pPr>
        <w:pStyle w:val="ListBullet"/>
      </w:pPr>
      <w:r>
        <w:rPr>
          <w:rFonts w:ascii="Arial" w:hAnsi="Arial"/>
          <w:sz w:val="19"/>
        </w:rPr>
        <w:t>Cochez le niveau de conformité pour chaque élément: Oui, Partiellement ou Non.</w:t>
      </w:r>
    </w:p>
    <w:p>
      <w:pPr>
        <w:pStyle w:val="ListBullet"/>
      </w:pPr>
      <w:r>
        <w:rPr>
          <w:rFonts w:ascii="Arial" w:hAnsi="Arial"/>
          <w:sz w:val="19"/>
        </w:rPr>
        <w:t>Ajoutez une observation courte lorsque le point est incomplet, ambigu ou doit etre amélioré.</w:t>
      </w:r>
    </w:p>
    <w:p>
      <w:pPr>
        <w:pStyle w:val="ListBullet"/>
      </w:pPr>
      <w:r>
        <w:rPr>
          <w:rFonts w:ascii="Arial" w:hAnsi="Arial"/>
          <w:sz w:val="19"/>
        </w:rPr>
        <w:t>Transformez les principaux écarts en plan d’amélioration avec responsable et échéance.</w:t>
      </w:r>
    </w:p>
    <w:p>
      <w:pPr>
        <w:pStyle w:val="ListBullet"/>
      </w:pPr>
      <w:r>
        <w:rPr>
          <w:rFonts w:ascii="Arial" w:hAnsi="Arial"/>
          <w:sz w:val="19"/>
        </w:rPr>
        <w:t>La checklist complète l’analyse professionnelle du contexte et ne remplace pas la validation interne de l’organisation.</w:t>
      </w:r>
    </w:p>
    <w:p>
      <w:pPr>
        <w:pStyle w:val="Heading1"/>
      </w:pPr>
      <w:r>
        <w:rPr>
          <w:rFonts w:ascii="Arial" w:hAnsi="Arial"/>
          <w:b/>
          <w:color w:val="17365D"/>
          <w:sz w:val="26"/>
        </w:rPr>
        <w:t>1. Informations générales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blHeader w:val="true"/>
        </w:trPr>
        <w:tc>
          <w:tcPr>
            <w:tcW w:type="dxa" w:w="762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762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Informations</w:t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Nom de l’entité / département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Titre du manuel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Périmètre du manuel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Date de la revue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Préparateur de la revue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Relecteur du manuel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Numéro de version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Entite d’approbation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2. Revue de la structure générale du manuel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manuel contient-il une introduction claire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L’objectif du manuel est-il défini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perimetre d’application du manuel est-il précisé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manuel contient-il les définitions et termes importants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L’ordre des chapitres ou sections est-il logique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manuel contient-il une table des matières claire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3. Revue des processus inclus dans le manuel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processus principaux concernés ont-ils été recensés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Chaque processus porte-t-il un nom clair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pilote de chaque processus est-il identifié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L’objectif de chaque processus est-il précisé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entrées et sorties de chaque processus sont-elles décrites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processus sont-ils lies aux documents et formulaires appropries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4. Revue des procédures opérationnelles SOP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Chaque procédure a-t-elle un titre clair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La finalité de la procédure est-elle définie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champ d’application de la procédure est-il clair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responsabilités et autorités sont-elles précisées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étapes de la procédure sont-elles ordonnees et logiques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étapes sont-elles rédigées dans un langage opérationnel clair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entrées et sorties sont-elles identifiées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enregistrements générés par la procédure sont-ils identifiés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5. Revue des formulaires et enregistrements associés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formulaires associés a chaque procédure sont-ils identifiés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Chaque formulaire posséde-t-il un code ou un numéro de version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enregistrements requis sont-ils clairement définis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La durée de conservation des enregistrements est-elle définie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lieu ou mode de conservation des enregistrements est-il précisé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anciennes versions ou versions annulées sont-elles maîtrisees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6. Revue des responsabilités et autorités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propriétaire de chaque procédure est-il identifié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L’entité chargee de l’exécution est-elle identifiée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L’entité d’approbation est-elle identifiée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autorités d’approbation ou de revue sont-elles claires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Existe-t-il un mécanisme d’escalade en cas de conflit ou de retard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7. Revue de la qualité et de la conformité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procédures sont-elles coherentes avec les politiques approuvees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procédures respectent-elles les exigences légales ou réglementaires applicables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Des critères qualité sont-ils définis pour les procédures importantes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Des indicateurs de performance sont-ils associés aux processus principaux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Des contrôles existent-ils pour reduire les erreurs ou les non-conformités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8. Revue de la facilité d’utilisation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langage du manuel est-il clair et direct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Un nouvel employe peut-il comprendre facilement la procédure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répétitions inutiles ont-elles été évitées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Des tableaux ou schémas facilitént-ils la compréhension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Les liens entre processus, procédures et formulaires sont-ils clairs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9. Revue de la maîtrise documentaire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57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604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 de revue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Oui</w:t>
            </w:r>
          </w:p>
        </w:tc>
        <w:tc>
          <w:tcPr>
            <w:tcW w:type="dxa" w:w="144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Partiellement</w:t>
            </w:r>
          </w:p>
        </w:tc>
        <w:tc>
          <w:tcPr>
            <w:tcW w:type="dxa" w:w="100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Non</w:t>
            </w:r>
          </w:p>
        </w:tc>
        <w:tc>
          <w:tcPr>
            <w:tcW w:type="dxa" w:w="31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Observations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manuel posséde-t-il un numéro de version clair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Une page d’approbation est-elle présente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Un registre des modifications existe-t-il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Le propriétaire du manuel est-il identifié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Un mécanisme de revue et de mise a jour est-il défini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La methode de diffusion du manuel aux parties concernées est-elle précisée ?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10. Synthèse des résultats de la revue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7625"/>
        <w:gridCol w:w="7625"/>
      </w:tblGrid>
      <w:tr>
        <w:trPr>
          <w:tblHeader w:val="true"/>
        </w:trPr>
        <w:tc>
          <w:tcPr>
            <w:tcW w:type="dxa" w:w="762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Element</w:t>
            </w:r>
          </w:p>
        </w:tc>
        <w:tc>
          <w:tcPr>
            <w:tcW w:type="dxa" w:w="762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Nombre / commentaire</w:t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Nombre total d’éléments de revue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Elements complets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Elements partiellement complets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Elements non complets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Elements necessitant une modification urgente</w:t>
            </w:r>
          </w:p>
        </w:tc>
        <w:tc>
          <w:tcPr>
            <w:tcW w:type="dxa" w:w="762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11. Principaux écarts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050"/>
        <w:gridCol w:w="3050"/>
        <w:gridCol w:w="3050"/>
        <w:gridCol w:w="3050"/>
        <w:gridCol w:w="3050"/>
      </w:tblGrid>
      <w:tr>
        <w:trPr>
          <w:tblHeader w:val="true"/>
        </w:trPr>
        <w:tc>
          <w:tcPr>
            <w:tcW w:type="dxa" w:w="305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305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Écart constaté</w:t>
            </w:r>
          </w:p>
        </w:tc>
        <w:tc>
          <w:tcPr>
            <w:tcW w:type="dxa" w:w="305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Impact sur la qualité du manuel</w:t>
            </w:r>
          </w:p>
        </w:tc>
        <w:tc>
          <w:tcPr>
            <w:tcW w:type="dxa" w:w="305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Priorité</w:t>
            </w:r>
          </w:p>
        </w:tc>
        <w:tc>
          <w:tcPr>
            <w:tcW w:type="dxa" w:w="305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Action proposée</w:t>
            </w:r>
          </w:p>
        </w:tc>
      </w:tr>
      <w:tr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Élevée / Moyenne / Faible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Élevée / Moyenne / Faible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Élevée / Moyenne / Faible</w:t>
            </w:r>
          </w:p>
        </w:tc>
        <w:tc>
          <w:tcPr>
            <w:tcW w:type="dxa" w:w="305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12. Plan d’amélioration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 w:val="true"/>
        </w:trPr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N°</w:t>
            </w:r>
          </w:p>
        </w:tc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Action requise</w:t>
            </w:r>
          </w:p>
        </w:tc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Date de début</w:t>
            </w:r>
          </w:p>
        </w:tc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Date d’échéance</w:t>
            </w:r>
          </w:p>
        </w:tc>
        <w:tc>
          <w:tcPr>
            <w:tcW w:type="dxa" w:w="254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Etat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Non démarré / En cours / Terminé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Non démarré / En cours / Terminé</w:t>
            </w:r>
          </w:p>
        </w:tc>
      </w:tr>
      <w:tr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4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Non démarré / En cours / Terminé</w:t>
            </w:r>
          </w:p>
        </w:tc>
      </w:tr>
    </w:tbl>
    <w:p>
      <w:pPr>
        <w:pStyle w:val="Heading1"/>
      </w:pPr>
      <w:r>
        <w:rPr>
          <w:rFonts w:ascii="Arial" w:hAnsi="Arial"/>
          <w:b/>
          <w:color w:val="17365D"/>
          <w:sz w:val="26"/>
        </w:rPr>
        <w:t>13. Validation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rPr>
          <w:tblHeader w:val="true"/>
        </w:trPr>
        <w:tc>
          <w:tcPr>
            <w:tcW w:type="dxa" w:w="381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381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Fonction</w:t>
            </w:r>
          </w:p>
        </w:tc>
        <w:tc>
          <w:tcPr>
            <w:tcW w:type="dxa" w:w="381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381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Préparateur de la revue</w:t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Relecteur du manuel</w:t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  <w:t>Entite d’approbation</w:t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81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jc w:val="center"/>
      </w:pPr>
      <w:r>
        <w:rPr>
          <w:rFonts w:ascii="Arial" w:hAnsi="Arial"/>
          <w:color w:val="646464"/>
          <w:sz w:val="17"/>
        </w:rPr>
        <w:t>ConsuTrain - Modèle gratuit modifiable</w:t>
      </w:r>
    </w:p>
    <w:sectPr w:rsidR="00FC693F" w:rsidRPr="0006063C" w:rsidSect="00034616">
      <w:pgSz w:w="16834" w:h="11909" w:orient="landscape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