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Registre simple des risques</w:t>
      </w:r>
    </w:p>
    <w:p>
      <w:pPr>
        <w:spacing w:after="120"/>
      </w:pPr>
      <w:r>
        <w:t xml:space="preserve">Utilisez ce registre pour identifier, évaluer et suivre les risques prioritaires avec des actions de maîtrise claires.</w:t>
      </w:r>
    </w:p>
    <w:p>
      <w:pPr>
        <w:pStyle w:val="Heading1"/>
      </w:pPr>
      <w:r>
        <w:t xml:space="preserve">Registre des risques</w:t>
      </w:r>
    </w:p>
    <w:tbl>
      <w:tblPr>
        <w:tblW w:w="9360" w:type="dxa"/>
        <w:tblInd w:w="120" w:type="dxa"/>
        <w:tblLayout w:type="fixed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4" w:space="0" w:color="D7DEE8"/>
          <w:insideV w:val="single" w:sz="4" w:space="0" w:color="D7DEE8"/>
        </w:tblBorders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Risque</w:t>
            </w:r>
          </w:p>
        </w:tc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Causes possibles</w:t>
            </w:r>
          </w:p>
        </w:tc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Impact</w:t>
            </w:r>
          </w:p>
        </w:tc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Probabilité</w:t>
            </w:r>
          </w:p>
        </w:tc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Niveau de criticité</w:t>
            </w:r>
          </w:p>
        </w:tc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Actions de maîtrise</w:t>
            </w:r>
          </w:p>
        </w:tc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Responsable</w:t>
            </w:r>
          </w:p>
        </w:tc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Statut</w:t>
            </w:r>
          </w:p>
        </w:tc>
        <w:tc>
          <w:tcPr>
            <w:tcW w:w="104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Date de revue</w:t>
            </w:r>
          </w:p>
        </w:tc>
      </w:tr>
      <w:tr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104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</w:tbl>
    <w:p>
      <w:pPr>
        <w:pStyle w:val="Heading1"/>
      </w:pPr>
      <w:r>
        <w:t xml:space="preserve">Synthèse des risques prioritaires</w:t>
      </w:r>
    </w:p>
    <w:tbl>
      <w:tblPr>
        <w:tblW w:w="9360" w:type="dxa"/>
        <w:tblInd w:w="120" w:type="dxa"/>
        <w:tblLayout w:type="fixed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4" w:space="0" w:color="D7DEE8"/>
          <w:insideV w:val="single" w:sz="4" w:space="0" w:color="D7DEE8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Risque prioritaire</w:t>
            </w:r>
          </w:p>
        </w:tc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Décision</w:t>
            </w:r>
          </w:p>
        </w:tc>
        <w:tc>
          <w:tcPr>
            <w:tcW w:w="3120" w:type="dxa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Prochaine action</w:t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  <w:tr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  <w:tc>
          <w:tcPr>
            <w:tcW w:w="3120" w:type="dxa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/>
              <w:t xml:space="preserve"/>
            </w:r>
          </w:p>
        </w:tc>
      </w:tr>
    </w:tbl>
    <w:p>
      <w:pPr>
        <w:pStyle w:val="FooterNote"/>
      </w:pPr>
      <w:r>
        <w:t xml:space="preserve">ConsuTrain - Modèle pratique à adapter selon le contexte de l'organisation.</w:t>
      </w:r>
    </w:p>
    <w:sectPr>
      <w:pgSz w:w="12240" w:h="15840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  <w:pPr>
      <w:spacing w:after="120" w:line="280" w:lineRule="auto"/>
    </w:pPr>
    <w:rPr>
      <w:rFonts w:ascii="Calibri" w:hAnsi="Calibri"/>
      <w:sz w:val="22"/>
      <w:color w:val="1F2937"/>
    </w:rPr>
  </w:style>
  <w:style w:type="paragraph" w:styleId="Title">
    <w:name w:val="Title"/>
    <w:basedOn w:val="Normal"/>
    <w:qFormat/>
    <w:pPr>
      <w:spacing w:after="180"/>
    </w:pPr>
    <w:rPr>
      <w:b/>
      <w:sz w:val="32"/>
      <w:color w:val="0B2545"/>
    </w:rPr>
  </w:style>
  <w:style w:type="paragraph" w:styleId="Heading1">
    <w:name w:val="heading 1"/>
    <w:basedOn w:val="Normal"/>
    <w:qFormat/>
    <w:pPr>
      <w:spacing w:before="240" w:after="120"/>
    </w:pPr>
    <w:rPr>
      <w:b/>
      <w:sz w:val="26"/>
      <w:color w:val="2E74B5"/>
    </w:rPr>
  </w:style>
  <w:style w:type="paragraph" w:styleId="FooterNote">
    <w:name w:val="Footer Note"/>
    <w:basedOn w:val="Normal"/>
    <w:pPr>
      <w:spacing w:before="180" w:after="0"/>
    </w:pPr>
    <w:rPr>
      <w:i/>
      <w:sz w:val="18"/>
      <w:color w:val="6B728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