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BF8000"/>
          <w:sz w:val="22"/>
        </w:rPr>
        <w:t>ConsuTrain | Modèle gratuit</w:t>
      </w:r>
    </w:p>
    <w:p>
      <w:pPr>
        <w:jc w:val="center"/>
      </w:pPr>
      <w:r>
        <w:rPr>
          <w:rFonts w:ascii="Arial" w:hAnsi="Arial" w:eastAsia="Arial"/>
          <w:b/>
          <w:color w:val="0F2F53"/>
          <w:sz w:val="40"/>
        </w:rPr>
        <w:t>Modèle de rapport d’état de projet</w:t>
      </w:r>
    </w:p>
    <w:p>
      <w:pPr>
        <w:spacing w:before="0" w:after="160"/>
        <w:jc w:val="center"/>
      </w:pPr>
      <w:r>
        <w:rPr>
          <w:rFonts w:ascii="Arial" w:hAnsi="Arial" w:eastAsia="Arial"/>
          <w:b w:val="0"/>
          <w:sz w:val="20"/>
        </w:rPr>
        <w:t>Modèle pratique pour présenter l’état d’un projet de manière synthétique et décisionnelle : périmètre, calendrier, budget, livrables, risques, décisions requises et plan de la période suivante.</w:t>
      </w:r>
    </w:p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Mode d’utilisation</w:t>
      </w:r>
    </w:p>
    <w:p>
      <w:pPr>
        <w:spacing w:after="20"/>
        <w:ind w:left="259"/>
      </w:pPr>
      <w:r>
        <w:rPr>
          <w:rFonts w:ascii="Arial" w:hAnsi="Arial" w:eastAsia="Arial"/>
          <w:sz w:val="18"/>
        </w:rPr>
        <w:t>• Utilisez ce rapport de façon périodique, par exemple chaque semaine, chaque mois ou à chaque comité de pilotage.</w:t>
      </w:r>
    </w:p>
    <w:p>
      <w:pPr>
        <w:spacing w:after="20"/>
        <w:ind w:left="259"/>
      </w:pPr>
      <w:r>
        <w:rPr>
          <w:rFonts w:ascii="Arial" w:hAnsi="Arial" w:eastAsia="Arial"/>
          <w:sz w:val="18"/>
        </w:rPr>
        <w:t>• Concentrez le rapport sur les faits utiles à la décision : avancement, écarts, risques, actions et décisions attendues.</w:t>
      </w:r>
    </w:p>
    <w:p>
      <w:pPr>
        <w:spacing w:after="20"/>
        <w:ind w:left="259"/>
      </w:pPr>
      <w:r>
        <w:rPr>
          <w:rFonts w:ascii="Arial" w:hAnsi="Arial" w:eastAsia="Arial"/>
          <w:sz w:val="18"/>
        </w:rPr>
        <w:t>• Ne limitez pas le suivi au pourcentage d’avancement ; reliez-le au périmètre, aux délais, au budget, aux livrables et aux risques.</w:t>
      </w:r>
    </w:p>
    <w:p>
      <w:pPr>
        <w:spacing w:after="20"/>
        <w:ind w:left="259"/>
      </w:pPr>
      <w:r>
        <w:rPr>
          <w:rFonts w:ascii="Arial" w:hAnsi="Arial" w:eastAsia="Arial"/>
          <w:sz w:val="18"/>
        </w:rPr>
        <w:t>• Mettez à jour les indicateurs et les décisions demandées avant la réunion afin de faciliter l’arbitrage.</w:t>
      </w:r>
    </w:p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1. Informations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106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Nom du projet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Entité / Département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Chef de projet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Période couverte par le rapport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Date de préparation du rapport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Préparé par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Numéro du rapport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Numéro de version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2. Synthèse exécutive de l’état du projet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106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État général du projet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Sur la bonne voie / À surveiller / En retard / En difficulté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Taux d’avancement global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Principales réalisations de la période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Principaux défis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Décisions les plus importantes à obtenir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Recommandation générale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3. État du périmètre du projet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106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Le périmètre du projet est-il stable ?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Oui / Non / À revoir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Des demandes de changement sont-elles apparues ?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Oui / Non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Description de tout changement de périmètre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Impact du changement sur les délais, les coûts ou la qualité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Décision requise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4. État du calendrier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106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Date de début planifiée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Date de fin planifiée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Date de fin actuellement estimée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Existe-t-il un retard ?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Oui / Non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Durée du retard, le cas échéant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Cause du retard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Action corrective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5. État du budget et des coûts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106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Budget approuvé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Dépenses réalisées à la date du rapport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Engagements prévus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Solde budgétaire restant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Dépassement attendu ?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Oui / Non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Commentaires financiers</w:t>
            </w:r>
          </w:p>
        </w:tc>
        <w:tc>
          <w:tcPr>
            <w:tcW w:type="dxa" w:w="106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6. État des principaux livrables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c>
          <w:tcPr>
            <w:tcW w:type="dxa" w:w="50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Livrable</w:t>
            </w:r>
          </w:p>
        </w:tc>
        <w:tc>
          <w:tcPr>
            <w:tcW w:type="dxa" w:w="2448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État</w:t>
            </w:r>
          </w:p>
        </w:tc>
        <w:tc>
          <w:tcPr>
            <w:tcW w:type="dxa" w:w="1728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Taux d’avancement</w:t>
            </w:r>
          </w:p>
        </w:tc>
        <w:tc>
          <w:tcPr>
            <w:tcW w:type="dxa" w:w="2448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Date de livraison planifiée</w:t>
            </w:r>
          </w:p>
        </w:tc>
        <w:tc>
          <w:tcPr>
            <w:tcW w:type="dxa" w:w="3888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Commentaires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1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Non commencé / En cours / Terminé / En retard</w:t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2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Non commencé / En cours / Terminé / En retard</w:t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3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Non commencé / En cours / Terminé / En retard</w:t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4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Non commencé / En cours / Terminé / En retard</w:t>
            </w:r>
          </w:p>
        </w:tc>
        <w:tc>
          <w:tcPr>
            <w:tcW w:type="dxa" w:w="172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44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7. Indicateurs de performance du projet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c>
          <w:tcPr>
            <w:tcW w:type="dxa" w:w="50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Indicateur</w:t>
            </w:r>
          </w:p>
        </w:tc>
        <w:tc>
          <w:tcPr>
            <w:tcW w:type="dxa" w:w="230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Cible</w:t>
            </w:r>
          </w:p>
        </w:tc>
        <w:tc>
          <w:tcPr>
            <w:tcW w:type="dxa" w:w="230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Résultat actuel</w:t>
            </w:r>
          </w:p>
        </w:tc>
        <w:tc>
          <w:tcPr>
            <w:tcW w:type="dxa" w:w="230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État</w:t>
            </w:r>
          </w:p>
        </w:tc>
        <w:tc>
          <w:tcPr>
            <w:tcW w:type="dxa" w:w="374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Commentaires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1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Taux d’avancement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Atteint / Proche / En retard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2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Respect du calendrier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3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Respect du budget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4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Qualité des livrables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5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Satisfaction des parties prenantes</w:t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8. Principales réalisations de la période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050"/>
        <w:gridCol w:w="3050"/>
        <w:gridCol w:w="3050"/>
        <w:gridCol w:w="3050"/>
        <w:gridCol w:w="3050"/>
      </w:tblGrid>
      <w:tr>
        <w:tc>
          <w:tcPr>
            <w:tcW w:type="dxa" w:w="50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Réalisation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Livrable ou activité associé(e)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Impact ou valeur ajoutée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Preuve de réalisation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1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2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3</w:t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9. Défis et risques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c>
          <w:tcPr>
            <w:tcW w:type="dxa" w:w="50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331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Défi / Risque</w:t>
            </w:r>
          </w:p>
        </w:tc>
        <w:tc>
          <w:tcPr>
            <w:tcW w:type="dxa" w:w="331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Impact sur le projet</w:t>
            </w:r>
          </w:p>
        </w:tc>
        <w:tc>
          <w:tcPr>
            <w:tcW w:type="dxa" w:w="230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Niveau d’importance</w:t>
            </w:r>
          </w:p>
        </w:tc>
        <w:tc>
          <w:tcPr>
            <w:tcW w:type="dxa" w:w="331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Action proposée</w:t>
            </w:r>
          </w:p>
        </w:tc>
        <w:tc>
          <w:tcPr>
            <w:tcW w:type="dxa" w:w="2160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Responsable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1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Élevé / Moyen / Faible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2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3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3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10. Décisions requises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c>
          <w:tcPr>
            <w:tcW w:type="dxa" w:w="50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331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Décision requise</w:t>
            </w:r>
          </w:p>
        </w:tc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Motif de la demande</w:t>
            </w:r>
          </w:p>
        </w:tc>
        <w:tc>
          <w:tcPr>
            <w:tcW w:type="dxa" w:w="3600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Instance / personne appelée à valider</w:t>
            </w:r>
          </w:p>
        </w:tc>
        <w:tc>
          <w:tcPr>
            <w:tcW w:type="dxa" w:w="201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Priorité</w:t>
            </w:r>
          </w:p>
        </w:tc>
        <w:tc>
          <w:tcPr>
            <w:tcW w:type="dxa" w:w="2160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Date souhaitée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1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Élevée / Moyenne / Faible</w:t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2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3</w:t>
            </w:r>
          </w:p>
        </w:tc>
        <w:tc>
          <w:tcPr>
            <w:tcW w:type="dxa" w:w="331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16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11. Plan de la prochaine période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2"/>
        <w:gridCol w:w="2542"/>
        <w:gridCol w:w="2542"/>
        <w:gridCol w:w="2542"/>
        <w:gridCol w:w="2542"/>
        <w:gridCol w:w="2542"/>
      </w:tblGrid>
      <w:tr>
        <w:tc>
          <w:tcPr>
            <w:tcW w:type="dxa" w:w="50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374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Activité / Tâche</w:t>
            </w:r>
          </w:p>
        </w:tc>
        <w:tc>
          <w:tcPr>
            <w:tcW w:type="dxa" w:w="259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201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Date de début</w:t>
            </w:r>
          </w:p>
        </w:tc>
        <w:tc>
          <w:tcPr>
            <w:tcW w:type="dxa" w:w="201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Date de fin</w:t>
            </w:r>
          </w:p>
        </w:tc>
        <w:tc>
          <w:tcPr>
            <w:tcW w:type="dxa" w:w="374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Livrable attendu</w:t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1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2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50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3</w:t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01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74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12. Synthèse de l’état du projet par couleur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  <w:gridCol w:w="5083"/>
      </w:tblGrid>
      <w:tr>
        <w:tc>
          <w:tcPr>
            <w:tcW w:type="dxa" w:w="3456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Domaine</w:t>
            </w:r>
          </w:p>
        </w:tc>
        <w:tc>
          <w:tcPr>
            <w:tcW w:type="dxa" w:w="3024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État</w:t>
            </w:r>
          </w:p>
        </w:tc>
        <w:tc>
          <w:tcPr>
            <w:tcW w:type="dxa" w:w="7920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5"/>
              </w:rPr>
              <w:t>Commentaires</w:t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Périmètre</w:t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Vert / Jaune / Rouge</w:t>
            </w:r>
          </w:p>
        </w:tc>
        <w:tc>
          <w:tcPr>
            <w:tcW w:type="dxa" w:w="792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Calendrier</w:t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Vert / Jaune / Rouge</w:t>
            </w:r>
          </w:p>
        </w:tc>
        <w:tc>
          <w:tcPr>
            <w:tcW w:type="dxa" w:w="792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Budget</w:t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Vert / Jaune / Rouge</w:t>
            </w:r>
          </w:p>
        </w:tc>
        <w:tc>
          <w:tcPr>
            <w:tcW w:type="dxa" w:w="792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Qualité</w:t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Vert / Jaune / Rouge</w:t>
            </w:r>
          </w:p>
        </w:tc>
        <w:tc>
          <w:tcPr>
            <w:tcW w:type="dxa" w:w="792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Risques</w:t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Vert / Jaune / Rouge</w:t>
            </w:r>
          </w:p>
        </w:tc>
        <w:tc>
          <w:tcPr>
            <w:tcW w:type="dxa" w:w="792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</w:r>
          </w:p>
        </w:tc>
      </w:tr>
      <w:tr>
        <w:tc>
          <w:tcPr>
            <w:tcW w:type="dxa" w:w="345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Parties prenantes</w:t>
            </w:r>
          </w:p>
        </w:tc>
        <w:tc>
          <w:tcPr>
            <w:tcW w:type="dxa" w:w="302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  <w:t>Vert / Jaune / Rouge</w:t>
            </w:r>
          </w:p>
        </w:tc>
        <w:tc>
          <w:tcPr>
            <w:tcW w:type="dxa" w:w="792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5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13. Approbation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812"/>
        <w:gridCol w:w="3812"/>
        <w:gridCol w:w="3812"/>
        <w:gridCol w:w="3812"/>
      </w:tblGrid>
      <w:tr>
        <w:tc>
          <w:tcPr>
            <w:tcW w:type="dxa" w:w="3600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Nom</w:t>
            </w:r>
          </w:p>
        </w:tc>
        <w:tc>
          <w:tcPr>
            <w:tcW w:type="dxa" w:w="3888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Fonction</w:t>
            </w:r>
          </w:p>
        </w:tc>
        <w:tc>
          <w:tcPr>
            <w:tcW w:type="dxa" w:w="3888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Signature</w:t>
            </w:r>
          </w:p>
        </w:tc>
        <w:tc>
          <w:tcPr>
            <w:tcW w:type="dxa" w:w="2592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Date</w:t>
            </w:r>
          </w:p>
        </w:tc>
      </w:tr>
      <w:tr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Préparateur du rapport</w:t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Chef de projet</w:t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Entité approbatrice</w:t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</w:tbl>
    <w:p/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Annexe pratique</w:t>
      </w:r>
    </w:p>
    <w:p>
      <w:pPr>
        <w:spacing w:after="20"/>
        <w:ind w:left="259"/>
      </w:pPr>
      <w:r>
        <w:rPr>
          <w:rFonts w:ascii="Arial" w:hAnsi="Arial" w:eastAsia="Arial"/>
          <w:sz w:val="18"/>
        </w:rPr>
        <w:t>• Commencez par la synthèse exécutive, mais rédigez-la après avoir mis à jour les tableaux du rapport.</w:t>
      </w:r>
    </w:p>
    <w:p>
      <w:pPr>
        <w:spacing w:after="20"/>
        <w:ind w:left="259"/>
      </w:pPr>
      <w:r>
        <w:rPr>
          <w:rFonts w:ascii="Arial" w:hAnsi="Arial" w:eastAsia="Arial"/>
          <w:sz w:val="18"/>
        </w:rPr>
        <w:t>• Distinguez l’activité réalisée du livrable validé : le livrable est la preuve concrète de l’avancement.</w:t>
      </w:r>
    </w:p>
    <w:p>
      <w:pPr>
        <w:spacing w:after="20"/>
        <w:ind w:left="259"/>
      </w:pPr>
      <w:r>
        <w:rPr>
          <w:rFonts w:ascii="Arial" w:hAnsi="Arial" w:eastAsia="Arial"/>
          <w:sz w:val="18"/>
        </w:rPr>
        <w:t>• Présentez clairement les décisions requises afin que le rapport ne reste pas un simple état descriptif.</w:t>
      </w:r>
    </w:p>
    <w:p>
      <w:pPr>
        <w:spacing w:after="20"/>
        <w:ind w:left="259"/>
      </w:pPr>
      <w:r>
        <w:rPr>
          <w:rFonts w:ascii="Arial" w:hAnsi="Arial" w:eastAsia="Arial"/>
          <w:sz w:val="18"/>
        </w:rPr>
        <w:t>• Mettez en évidence les écarts de calendrier, de budget ou de périmètre et indiquez l’action corrective proposée.</w:t>
      </w:r>
    </w:p>
    <w:p>
      <w:pPr>
        <w:spacing w:after="20"/>
        <w:ind w:left="259"/>
      </w:pPr>
      <w:r>
        <w:rPr>
          <w:rFonts w:ascii="Arial" w:hAnsi="Arial" w:eastAsia="Arial"/>
          <w:sz w:val="18"/>
        </w:rPr>
        <w:t>• Utilisez le code couleur Vert / Jaune / Rouge pour faciliter la lecture par les décideurs.</w:t>
      </w:r>
    </w:p>
    <w:p>
      <w:pPr>
        <w:spacing w:before="160" w:after="80"/>
      </w:pPr>
      <w:r>
        <w:rPr>
          <w:rFonts w:ascii="Arial" w:hAnsi="Arial" w:eastAsia="Arial"/>
          <w:b/>
          <w:color w:val="0F2F53"/>
          <w:sz w:val="28"/>
        </w:rPr>
        <w:t>Exemple simplifié d’indicateur dans le rapport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625"/>
        <w:gridCol w:w="7625"/>
      </w:tblGrid>
      <w:tr>
        <w:tc>
          <w:tcPr>
            <w:tcW w:type="dxa" w:w="3888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Champ</w:t>
            </w:r>
          </w:p>
        </w:tc>
        <w:tc>
          <w:tcPr>
            <w:tcW w:type="dxa" w:w="10368"/>
            <w:vAlign w:val="center"/>
            <w:shd w:fill="17365D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7"/>
              </w:rPr>
              <w:t>Informations à compléter</w:t>
            </w:r>
          </w:p>
        </w:tc>
      </w:tr>
      <w:tr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Indicateur</w:t>
            </w:r>
          </w:p>
        </w:tc>
        <w:tc>
          <w:tcPr>
            <w:tcW w:type="dxa" w:w="103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Respect du calendrier du projet</w:t>
            </w:r>
          </w:p>
        </w:tc>
      </w:tr>
      <w:tr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Cible</w:t>
            </w:r>
          </w:p>
        </w:tc>
        <w:tc>
          <w:tcPr>
            <w:tcW w:type="dxa" w:w="103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90 % des jalons réalisés dans les délais</w:t>
            </w:r>
          </w:p>
        </w:tc>
      </w:tr>
      <w:tr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Résultat actuel</w:t>
            </w:r>
          </w:p>
        </w:tc>
        <w:tc>
          <w:tcPr>
            <w:tcW w:type="dxa" w:w="103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75 %</w:t>
            </w:r>
          </w:p>
        </w:tc>
      </w:tr>
      <w:tr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État</w:t>
            </w:r>
          </w:p>
        </w:tc>
        <w:tc>
          <w:tcPr>
            <w:tcW w:type="dxa" w:w="103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En retard</w:t>
            </w:r>
          </w:p>
        </w:tc>
      </w:tr>
      <w:tr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Cause de l’écart</w:t>
            </w:r>
          </w:p>
        </w:tc>
        <w:tc>
          <w:tcPr>
            <w:tcW w:type="dxa" w:w="103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Retard de validation de certains livrables par la partie concernée</w:t>
            </w:r>
          </w:p>
        </w:tc>
      </w:tr>
      <w:tr>
        <w:tc>
          <w:tcPr>
            <w:tcW w:type="dxa" w:w="388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6"/>
              </w:rPr>
              <w:t>Action corrective</w:t>
            </w:r>
          </w:p>
        </w:tc>
        <w:tc>
          <w:tcPr>
            <w:tcW w:type="dxa" w:w="10368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Planifier une réunion d’arbitrage et actualiser le calendrier sous une semaine</w:t>
            </w:r>
          </w:p>
        </w:tc>
      </w:tr>
    </w:tbl>
    <w:p/>
    <w:p>
      <w:pPr>
        <w:spacing w:before="160" w:after="80"/>
        <w:jc w:val="center"/>
      </w:pPr>
      <w:r>
        <w:rPr>
          <w:rFonts w:ascii="Arial" w:hAnsi="Arial" w:eastAsia="Arial"/>
          <w:b/>
          <w:color w:val="17365D"/>
          <w:sz w:val="18"/>
        </w:rPr>
        <w:t>Modèle de rapport d’état de projet – Version modifiable</w:t>
      </w:r>
    </w:p>
    <w:p>
      <w:pPr>
        <w:spacing w:before="0" w:after="80"/>
        <w:jc w:val="center"/>
      </w:pPr>
      <w:r>
        <w:rPr>
          <w:rFonts w:ascii="Arial" w:hAnsi="Arial" w:eastAsia="Arial"/>
          <w:b w:val="0"/>
          <w:color w:val="666666"/>
          <w:sz w:val="17"/>
        </w:rPr>
        <w:t>ConsuTrain – Modèle pratique à adapter selon le contexte de l’organisation.</w:t>
      </w:r>
    </w:p>
    <w:sectPr w:rsidR="00FC693F" w:rsidRPr="0006063C" w:rsidSect="00034616">
      <w:pgSz w:w="16834" w:h="11909" w:orient="landscape"/>
      <w:pgMar w:top="648" w:right="792" w:bottom="648" w:left="79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