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color w:val="D79B22"/>
          <w:sz w:val="22"/>
        </w:rPr>
        <w:t>ConsuTrain | Modèle gratuit</w:t>
      </w:r>
    </w:p>
    <w:p>
      <w:pPr>
        <w:pStyle w:val="TitleCustom"/>
        <w:jc w:val="center"/>
      </w:pPr>
      <w:r>
        <w:t>Fiche indicateur KPI</w:t>
      </w:r>
    </w:p>
    <w:p>
      <w:pPr>
        <w:pStyle w:val="SubtitleCustom"/>
        <w:jc w:val="center"/>
      </w:pPr>
      <w:r>
        <w:t>Modèle pratique pour documenter un indicateur, sa définition, sa méthode de calcul, ses sources de données, ses cibles et son suivi.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tcBorders>
              <w:top w:val="single" w:sz="6" w:color="E5E7EB"/>
              <w:left w:val="single" w:sz="6" w:color="E5E7EB"/>
              <w:bottom w:val="single" w:sz="6" w:color="E5E7EB"/>
              <w:right w:val="single" w:sz="6" w:color="E5E7EB"/>
            </w:tcBorders>
            <w:vAlign w:val="center"/>
            <w:shd w:fill="FFF4D8"/>
          </w:tcPr>
          <w:p>
            <w:pPr>
              <w:spacing w:after="60" w:before="0"/>
            </w:pPr>
            <w:r>
              <w:rPr>
                <w:rFonts w:ascii="Aptos" w:hAnsi="Aptos" w:eastAsia="Aptos"/>
                <w:b/>
                <w:i w:val="0"/>
                <w:color w:val="16355C"/>
                <w:sz w:val="24"/>
              </w:rPr>
              <w:t>Mode d’utilisation</w:t>
            </w:r>
          </w:p>
          <w:p>
            <w:pPr>
              <w:pStyle w:val="CustomBullet"/>
              <w:spacing w:after="60" w:before="0"/>
            </w:pPr>
            <w:r>
              <w:rPr>
                <w:rFonts w:ascii="Aptos" w:hAnsi="Aptos" w:eastAsia="Aptos"/>
              </w:rPr>
              <w:t>• Utilisez cette fiche pour chaque indicateur de performance important, et ne vous limitez pas au nom de l’indicateur.</w:t>
            </w:r>
          </w:p>
          <w:p>
            <w:pPr>
              <w:pStyle w:val="CustomBullet"/>
              <w:spacing w:after="60" w:before="0"/>
            </w:pPr>
            <w:r>
              <w:rPr>
                <w:rFonts w:ascii="Aptos" w:hAnsi="Aptos" w:eastAsia="Aptos"/>
              </w:rPr>
              <w:t>• Renseignez la définition, la formule et la source des données avant de commencer la mesure afin d’éviter les interprétations différentes.</w:t>
            </w:r>
          </w:p>
          <w:p>
            <w:pPr>
              <w:pStyle w:val="CustomBullet"/>
              <w:spacing w:after="60" w:before="0"/>
            </w:pPr>
            <w:r>
              <w:rPr>
                <w:rFonts w:ascii="Aptos" w:hAnsi="Aptos" w:eastAsia="Aptos"/>
              </w:rPr>
              <w:t>• Révisez la fiche après le premier cycle de mesure, car certains indicateurs doivent être ajustés après l’application pratique.</w:t>
            </w:r>
          </w:p>
          <w:p>
            <w:pPr>
              <w:pStyle w:val="CustomBullet"/>
              <w:spacing w:after="60" w:before="0"/>
            </w:pPr>
            <w:r>
              <w:rPr>
                <w:rFonts w:ascii="Aptos" w:hAnsi="Aptos" w:eastAsia="Aptos"/>
              </w:rPr>
              <w:t>• Vous pouvez dupliquer cette fiche pour chaque indicateur lié à un plan stratégique, opérationnel, projet, service ou rapport de performance.</w:t>
            </w:r>
          </w:p>
        </w:tc>
      </w:tr>
    </w:tbl>
    <w:p/>
    <w:p>
      <w:pPr>
        <w:pStyle w:val="SectionHeading"/>
      </w:pPr>
      <w:r>
        <w:rPr>
          <w:b/>
          <w:color w:val="D79B22"/>
        </w:rPr>
        <w:t xml:space="preserve">1. </w:t>
      </w:r>
      <w:r>
        <w:rPr>
          <w:b/>
          <w:color w:val="16355C"/>
        </w:rPr>
        <w:t>Informations générales de l’indicateur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Nom de l’indicateur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Code de l’indicateur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Domaine lié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Stratégique / opérationnel / qualité / projet / service / financier / satisfaction bénéficiaire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Objectif ou initiative liée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Propriétaire de l’indicateur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Entité responsable du suivi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Date de création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Date de dernière mise à jour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</w:tbl>
    <w:p/>
    <w:p>
      <w:pPr>
        <w:pStyle w:val="SectionHeading"/>
      </w:pPr>
      <w:r>
        <w:rPr>
          <w:b/>
          <w:color w:val="D79B22"/>
        </w:rPr>
        <w:t xml:space="preserve">2. </w:t>
      </w:r>
      <w:r>
        <w:rPr>
          <w:b/>
          <w:color w:val="16355C"/>
        </w:rPr>
        <w:t>Définition de l’indicateur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Description de l’indicateur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Que mesure précisément cet indicateur ?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Finalité de l’indicateur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Quelle décision, amélioration ou alerte cet indicateur permet-il de soutenir ?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Type d’indicateur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Quantitatif / qualitatif / financier / opérationnel / qualité / satisfaction bénéficiaire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Sens d’amélioration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Plus la valeur est élevée, mieux c’est / plus elle est basse, mieux c’est / valeur attendue dans une plage définie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Périmètre de mesure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Direction / projet / service / agence / période donnée</w:t>
            </w:r>
          </w:p>
        </w:tc>
      </w:tr>
    </w:tbl>
    <w:p/>
    <w:p>
      <w:pPr>
        <w:pStyle w:val="SectionHeading"/>
      </w:pPr>
      <w:r>
        <w:rPr>
          <w:b/>
          <w:color w:val="D79B22"/>
        </w:rPr>
        <w:t xml:space="preserve">3. </w:t>
      </w:r>
      <w:r>
        <w:rPr>
          <w:b/>
          <w:color w:val="16355C"/>
        </w:rPr>
        <w:t>Méthode de mesure et source des données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Formule de calcul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Exemple : (Nombre de demandes traitées dans les délais ÷ Nombre total de demandes) × 100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Unité de mesure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Pourcentage / nombre / jour / montant / score / autre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Source des données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Nom du système, rapport, registre ou tableau de suivi utilisé comme référence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Fréquence de mesure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Hebdomadaire / mensuelle / trimestrielle / annuelle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Responsable de la fourniture des données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Responsable de la vérification des données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Notes sur la qualité des données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</w:tbl>
    <w:p/>
    <w:p>
      <w:pPr>
        <w:pStyle w:val="SectionHeading"/>
      </w:pPr>
      <w:r>
        <w:rPr>
          <w:b/>
          <w:color w:val="D79B22"/>
        </w:rPr>
        <w:t xml:space="preserve">4. </w:t>
      </w:r>
      <w:r>
        <w:rPr>
          <w:b/>
          <w:color w:val="16355C"/>
        </w:rPr>
        <w:t>Cibles et seuils de performance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Ligne de base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Valeur actuelle ou dernier résultat disponible avant la fixation de la cible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Cible annuelle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Cible intermédiaire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Mensuelle / trimestrielle selon la nature de l’indicateur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Seuil acceptable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Résultat minimal pouvant être accepté sans intervention urgente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Seuil critique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Niveau nécessitant une escalade ou une action urgente</w:t>
            </w:r>
          </w:p>
        </w:tc>
      </w:tr>
    </w:tbl>
    <w:p/>
    <w:p>
      <w:pPr>
        <w:sectPr>
          <w:headerReference w:type="default" r:id="rId9"/>
          <w:footerReference w:type="default" r:id="rId10"/>
          <w:pgSz w:w="12240" w:h="15840"/>
          <w:pgMar w:top="850" w:right="964" w:bottom="850" w:left="964" w:header="720" w:footer="720" w:gutter="0"/>
          <w:cols w:space="720"/>
          <w:docGrid w:linePitch="360"/>
        </w:sectPr>
      </w:pPr>
    </w:p>
    <w:p>
      <w:pPr>
        <w:pStyle w:val="SectionHeading"/>
      </w:pPr>
      <w:r>
        <w:rPr>
          <w:b/>
          <w:color w:val="D79B22"/>
        </w:rPr>
        <w:t xml:space="preserve">5. </w:t>
      </w:r>
      <w:r>
        <w:rPr>
          <w:b/>
          <w:color w:val="16355C"/>
        </w:rPr>
        <w:t>Suivi et amélioration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81"/>
        <w:gridCol w:w="1781"/>
        <w:gridCol w:w="1781"/>
        <w:gridCol w:w="1781"/>
        <w:gridCol w:w="1781"/>
        <w:gridCol w:w="1781"/>
        <w:gridCol w:w="1781"/>
        <w:gridCol w:w="1781"/>
      </w:tblGrid>
      <w:tr>
        <w:trPr>
          <w:tblHeader w:val="true"/>
        </w:trPr>
        <w:tc>
          <w:tcPr>
            <w:tcW w:type="dxa" w:w="1474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Période</w:t>
            </w:r>
          </w:p>
        </w:tc>
        <w:tc>
          <w:tcPr>
            <w:tcW w:type="dxa" w:w="1417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Résultat réel</w:t>
            </w:r>
          </w:p>
        </w:tc>
        <w:tc>
          <w:tcPr>
            <w:tcW w:type="dxa" w:w="1247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Cible</w:t>
            </w:r>
          </w:p>
        </w:tc>
        <w:tc>
          <w:tcPr>
            <w:tcW w:type="dxa" w:w="1701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État de performance</w:t>
            </w:r>
          </w:p>
        </w:tc>
        <w:tc>
          <w:tcPr>
            <w:tcW w:type="dxa" w:w="2041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Cause de l’écart</w:t>
            </w:r>
          </w:p>
        </w:tc>
        <w:tc>
          <w:tcPr>
            <w:tcW w:type="dxa" w:w="2154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Action corrective</w:t>
            </w:r>
          </w:p>
        </w:tc>
        <w:tc>
          <w:tcPr>
            <w:tcW w:type="dxa" w:w="1474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Responsable</w:t>
            </w:r>
          </w:p>
        </w:tc>
        <w:tc>
          <w:tcPr>
            <w:tcW w:type="dxa" w:w="1361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  <w:shd w:fill="16355C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FFFFFF"/>
                <w:sz w:val="16"/>
              </w:rPr>
              <w:t>Date de suivi</w:t>
            </w:r>
          </w:p>
        </w:tc>
      </w:tr>
      <w:tr>
        <w:trPr>
          <w:trHeight w:val="539" w:hRule="atLeast"/>
        </w:trPr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1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24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70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>Atteint / proche / en retard</w:t>
            </w:r>
          </w:p>
        </w:tc>
        <w:tc>
          <w:tcPr>
            <w:tcW w:type="dxa" w:w="204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215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36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</w:tr>
      <w:tr>
        <w:trPr>
          <w:trHeight w:val="539" w:hRule="atLeast"/>
        </w:trPr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1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24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70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>Atteint / proche / en retard</w:t>
            </w:r>
          </w:p>
        </w:tc>
        <w:tc>
          <w:tcPr>
            <w:tcW w:type="dxa" w:w="204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215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36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</w:tr>
      <w:tr>
        <w:trPr>
          <w:trHeight w:val="539" w:hRule="atLeast"/>
        </w:trPr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1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24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70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>Atteint / proche / en retard</w:t>
            </w:r>
          </w:p>
        </w:tc>
        <w:tc>
          <w:tcPr>
            <w:tcW w:type="dxa" w:w="204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215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36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</w:tr>
      <w:tr>
        <w:trPr>
          <w:trHeight w:val="539" w:hRule="atLeast"/>
        </w:trPr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1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24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70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>Atteint / proche / en retard</w:t>
            </w:r>
          </w:p>
        </w:tc>
        <w:tc>
          <w:tcPr>
            <w:tcW w:type="dxa" w:w="204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215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36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</w:tr>
      <w:tr>
        <w:trPr>
          <w:trHeight w:val="539" w:hRule="atLeast"/>
        </w:trPr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1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247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70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>Atteint / proche / en retard</w:t>
            </w:r>
          </w:p>
        </w:tc>
        <w:tc>
          <w:tcPr>
            <w:tcW w:type="dxa" w:w="204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215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474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  <w:tc>
          <w:tcPr>
            <w:tcW w:type="dxa" w:w="1361"/>
            <w:shd w:fill="F4F6F8"/>
            <w:tcBorders>
              <w:top w:val="single" w:sz="6" w:color="D9DEE7"/>
              <w:left w:val="single" w:sz="6" w:color="D9DEE7"/>
              <w:bottom w:val="single" w:sz="6" w:color="D9DEE7"/>
              <w:right w:val="single" w:sz="6" w:color="D9DEE7"/>
            </w:tcBorders>
            <w:vAlign w:val="center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5D677A"/>
                <w:sz w:val="16"/>
              </w:rPr>
              <w:t xml:space="preserve"> </w:t>
            </w:r>
          </w:p>
        </w:tc>
      </w:tr>
    </w:tbl>
    <w:p/>
    <w:p>
      <w:pPr>
        <w:pStyle w:val="SectionHeading"/>
      </w:pPr>
      <w:r>
        <w:rPr>
          <w:b/>
          <w:color w:val="D79B22"/>
        </w:rPr>
        <w:t xml:space="preserve">6. </w:t>
      </w:r>
      <w:r>
        <w:rPr>
          <w:b/>
          <w:color w:val="16355C"/>
        </w:rPr>
        <w:t>Notes de revue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126"/>
        <w:gridCol w:w="7126"/>
      </w:tblGrid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L’indicateur est-il toujours pertinent ?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Oui / non / à ajuster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La source des données est-elle fiable ?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Oui / non / à améliorer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La formule est-elle claire pour tous ?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Oui / non / à clarifier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Décision de revue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Maintenir l’indicateur / ajuster l’indicateur / arrêter l’indicateur / le remplacer</w:t>
            </w:r>
          </w:p>
        </w:tc>
      </w:tr>
      <w:tr>
        <w:tc>
          <w:tcPr>
            <w:tcW w:type="dxa" w:w="3515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Notes complémentaires</w:t>
            </w:r>
          </w:p>
        </w:tc>
        <w:tc>
          <w:tcPr>
            <w:tcW w:type="dxa" w:w="5669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</w:r>
          </w:p>
        </w:tc>
      </w:tr>
    </w:tbl>
    <w:p/>
    <w:p>
      <w:pPr>
        <w:sectPr>
          <w:headerReference w:type="default" r:id="rId11"/>
          <w:footerReference w:type="default" r:id="rId12"/>
          <w:pgSz w:w="15840" w:h="12240" w:orient="landscape"/>
          <w:pgMar w:top="794" w:right="794" w:bottom="794" w:left="794" w:header="720" w:footer="720" w:gutter="0"/>
          <w:cols w:space="720"/>
          <w:docGrid w:linePitch="360"/>
        </w:sectPr>
      </w:pPr>
    </w:p>
    <w:p>
      <w:pPr>
        <w:pStyle w:val="SectionHeading"/>
      </w:pPr>
      <w:r>
        <w:rPr>
          <w:b/>
        </w:rPr>
        <w:t>Annexe pratique</w:t>
      </w:r>
    </w:p>
    <w:p>
      <w:pPr>
        <w:pStyle w:val="CustomBullet"/>
      </w:pPr>
      <w:r>
        <w:t>• N’adoptez pas un indicateur qui ne dispose pas d’une source de données claire.</w:t>
      </w:r>
    </w:p>
    <w:p>
      <w:pPr>
        <w:pStyle w:val="CustomBullet"/>
      </w:pPr>
      <w:r>
        <w:t>• Évitez de mesurer uniquement une activité ; reliez autant que possible l’indicateur à un résultat ou à un livrable.</w:t>
      </w:r>
    </w:p>
    <w:p>
      <w:pPr>
        <w:pStyle w:val="CustomBullet"/>
      </w:pPr>
      <w:r>
        <w:t>• Lorsqu’un pourcentage est utilisé, définissez précisément le numérateur et le dénominateur.</w:t>
      </w:r>
    </w:p>
    <w:p>
      <w:pPr>
        <w:pStyle w:val="CustomBullet"/>
      </w:pPr>
      <w:r>
        <w:t>• Ne multipliez pas les indicateurs inutilement. Concentrez-vous sur ceux qui aident réellement la décision.</w:t>
      </w:r>
    </w:p>
    <w:p>
      <w:pPr>
        <w:pStyle w:val="CustomBullet"/>
      </w:pPr>
      <w:r>
        <w:t>• Révisez l’indicateur après une première utilisation pour vérifier la disponibilité des données et la faisabilité du calcul.</w:t>
      </w:r>
    </w:p>
    <w:p>
      <w:pPr>
        <w:pStyle w:val="SectionHeading"/>
      </w:pPr>
      <w:r>
        <w:rPr>
          <w:b/>
        </w:rPr>
        <w:t>Exemple simplifié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3118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Nom de l’indicateur</w:t>
            </w:r>
          </w:p>
        </w:tc>
        <w:tc>
          <w:tcPr>
            <w:tcW w:type="dxa" w:w="6236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Taux de réalisation des actions dans les délais</w:t>
            </w:r>
          </w:p>
        </w:tc>
      </w:tr>
      <w:tr>
        <w:tc>
          <w:tcPr>
            <w:tcW w:type="dxa" w:w="3118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Finalité de l’indicateur</w:t>
            </w:r>
          </w:p>
        </w:tc>
        <w:tc>
          <w:tcPr>
            <w:tcW w:type="dxa" w:w="6236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Mesurer la capacité de l’équipe à réaliser les actions selon le calendrier prévu.</w:t>
            </w:r>
          </w:p>
        </w:tc>
      </w:tr>
      <w:tr>
        <w:tc>
          <w:tcPr>
            <w:tcW w:type="dxa" w:w="3118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Formule de calcul</w:t>
            </w:r>
          </w:p>
        </w:tc>
        <w:tc>
          <w:tcPr>
            <w:tcW w:type="dxa" w:w="6236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(Nombre d’actions réalisées dans les délais ÷ Nombre total d’actions prévues) × 100</w:t>
            </w:r>
          </w:p>
        </w:tc>
      </w:tr>
      <w:tr>
        <w:tc>
          <w:tcPr>
            <w:tcW w:type="dxa" w:w="3118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Source des données</w:t>
            </w:r>
          </w:p>
        </w:tc>
        <w:tc>
          <w:tcPr>
            <w:tcW w:type="dxa" w:w="6236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Tableau de suivi du plan opérationnel</w:t>
            </w:r>
          </w:p>
        </w:tc>
      </w:tr>
      <w:tr>
        <w:tc>
          <w:tcPr>
            <w:tcW w:type="dxa" w:w="3118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Fréquence de mesure</w:t>
            </w:r>
          </w:p>
        </w:tc>
        <w:tc>
          <w:tcPr>
            <w:tcW w:type="dxa" w:w="6236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Mensuelle</w:t>
            </w:r>
          </w:p>
        </w:tc>
      </w:tr>
      <w:tr>
        <w:tc>
          <w:tcPr>
            <w:tcW w:type="dxa" w:w="3118"/>
            <w:shd w:fill="EAF2FA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/>
                <w:color w:val="16355C"/>
                <w:sz w:val="18"/>
              </w:rPr>
              <w:t>Sens d’amélioration</w:t>
            </w:r>
          </w:p>
        </w:tc>
        <w:tc>
          <w:tcPr>
            <w:tcW w:type="dxa" w:w="6236"/>
          </w:tcPr>
          <w:p>
            <w:pPr>
              <w:spacing w:after="60" w:before="0"/>
            </w:pPr>
            <w:r>
              <w:rPr>
                <w:rFonts w:ascii="Aptos" w:hAnsi="Aptos" w:eastAsia="Aptos"/>
              </w:rPr>
            </w:r>
            <w:r>
              <w:rPr>
                <w:rFonts w:ascii="Aptos" w:hAnsi="Aptos" w:eastAsia="Aptos"/>
                <w:b w:val="0"/>
                <w:color w:val="1F2A44"/>
                <w:sz w:val="18"/>
              </w:rPr>
              <w:t>Plus la valeur est élevée, mieux c’est.</w:t>
            </w:r>
          </w:p>
        </w:tc>
      </w:tr>
    </w:tbl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tcBorders>
              <w:top w:val="single" w:sz="6" w:color="E5E7EB"/>
              <w:left w:val="single" w:sz="6" w:color="E5E7EB"/>
              <w:bottom w:val="single" w:sz="6" w:color="E5E7EB"/>
              <w:right w:val="single" w:sz="6" w:color="E5E7EB"/>
            </w:tcBorders>
            <w:vAlign w:val="center"/>
            <w:shd w:fill="FFF4D8"/>
          </w:tcPr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  <w:b/>
                <w:i w:val="0"/>
                <w:color w:val="16355C"/>
                <w:sz w:val="20"/>
              </w:rPr>
              <w:t>Fiche indicateur KPI – Version modifiable</w:t>
            </w:r>
          </w:p>
          <w:p>
            <w:pPr>
              <w:spacing w:after="60" w:before="0"/>
              <w:jc w:val="center"/>
            </w:pPr>
            <w:r>
              <w:rPr>
                <w:rFonts w:ascii="Aptos" w:hAnsi="Aptos" w:eastAsia="Aptos"/>
                <w:b w:val="0"/>
                <w:i w:val="0"/>
                <w:color w:val="5D677A"/>
                <w:sz w:val="18"/>
              </w:rPr>
              <w:t>ConsuTrain – Modèle pratique à adapter selon le contexte de l’organisation.</w:t>
            </w:r>
          </w:p>
        </w:tc>
      </w:tr>
    </w:tbl>
    <w:sectPr w:rsidR="00FC693F" w:rsidRPr="0006063C" w:rsidSect="00034616">
      <w:headerReference w:type="default" r:id="rId13"/>
      <w:footerReference w:type="default" r:id="rId14"/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D677A"/>
        <w:sz w:val="16"/>
      </w:rPr>
      <w:t>Fiche indicateur KPI – Version modifiable | ConsuTrain – Modèle pratique à adapter selon le contexte de l’organisation.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D677A"/>
        <w:sz w:val="16"/>
      </w:rPr>
      <w:t>Fiche indicateur KPI – Version modifiable | ConsuTrain – Modèle pratique à adapter selon le contexte de l’organisation.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D677A"/>
        <w:sz w:val="16"/>
      </w:rPr>
      <w:t>Fiche indicateur KPI – Version modifiable | ConsuTrain – Modèle pratique à adapter selon le contexte de l’organisation.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1F2A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 Custom"/>
    <w:pPr>
      <w:spacing w:after="120" w:line="252" w:lineRule="auto"/>
    </w:pPr>
    <w:rPr>
      <w:rFonts w:ascii="Aptos" w:hAnsi="Aptos" w:eastAsia="Aptos"/>
      <w:b/>
      <w:color w:val="16355C"/>
      <w:sz w:val="48"/>
    </w:rPr>
  </w:style>
  <w:style w:type="paragraph" w:customStyle="1" w:styleId="SubtitleCustom">
    <w:name w:val="Subtitle Custom"/>
    <w:pPr>
      <w:spacing w:after="120" w:line="252" w:lineRule="auto"/>
    </w:pPr>
    <w:rPr>
      <w:rFonts w:ascii="Aptos" w:hAnsi="Aptos" w:eastAsia="Aptos"/>
      <w:b w:val="0"/>
      <w:color w:val="5D677A"/>
      <w:sz w:val="22"/>
    </w:rPr>
  </w:style>
  <w:style w:type="paragraph" w:customStyle="1" w:styleId="SectionHeading">
    <w:name w:val="Section Heading"/>
    <w:pPr>
      <w:spacing w:after="120" w:line="252" w:lineRule="auto"/>
    </w:pPr>
    <w:rPr>
      <w:rFonts w:ascii="Aptos" w:hAnsi="Aptos" w:eastAsia="Aptos"/>
      <w:b/>
      <w:color w:val="16355C"/>
      <w:sz w:val="30"/>
    </w:rPr>
  </w:style>
  <w:style w:type="paragraph" w:customStyle="1" w:styleId="SmallNote">
    <w:name w:val="Small Note"/>
    <w:pPr>
      <w:spacing w:after="120" w:line="252" w:lineRule="auto"/>
    </w:pPr>
    <w:rPr>
      <w:rFonts w:ascii="Aptos" w:hAnsi="Aptos" w:eastAsia="Aptos"/>
      <w:b w:val="0"/>
      <w:color w:val="5D677A"/>
      <w:sz w:val="18"/>
    </w:rPr>
  </w:style>
  <w:style w:type="paragraph" w:customStyle="1" w:styleId="CustomBullet">
    <w:name w:val="Custom Bullet"/>
    <w:pPr>
      <w:spacing w:after="120" w:line="252" w:lineRule="auto"/>
      <w:ind w:left="340" w:hanging="170"/>
    </w:pPr>
    <w:rPr>
      <w:rFonts w:ascii="Aptos" w:hAnsi="Aptos" w:eastAsia="Aptos"/>
      <w:b w:val="0"/>
      <w:color w:val="1F2A44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