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79A1E"/>
          <w:sz w:val="22"/>
        </w:rPr>
        <w:t>ConsuTrain | Modèle gratuit</w:t>
      </w:r>
    </w:p>
    <w:p>
      <w:pPr>
        <w:jc w:val="center"/>
      </w:pPr>
      <w:r>
        <w:rPr>
          <w:b/>
          <w:color w:val="0B2A4A"/>
          <w:sz w:val="44"/>
        </w:rPr>
        <w:t>Modèle de plan d’audit interne</w:t>
      </w:r>
    </w:p>
    <w:p>
      <w:pPr>
        <w:jc w:val="center"/>
      </w:pPr>
      <w:r>
        <w:rPr>
          <w:color w:val="1F2937"/>
          <w:sz w:val="20"/>
        </w:rPr>
        <w:t>Modèle pratique pour organiser le périmètre, les objectifs, les critères, l’équipe, le calendrier, les axes d’audit, la collecte des preuves, la classification des constats et le suivi après audit.</w:t>
      </w:r>
    </w:p>
    <w:p>
      <w:pPr>
        <w:spacing w:before="160" w:after="80"/>
      </w:pPr>
      <w:r>
        <w:rPr>
          <w:b/>
          <w:color w:val="0B2A4A"/>
          <w:sz w:val="26"/>
        </w:rPr>
        <w:t>Mode d’utilisation</w:t>
      </w:r>
    </w:p>
    <w:p>
      <w:pPr>
        <w:pStyle w:val="ListBullet"/>
        <w:spacing w:after="40"/>
      </w:pPr>
      <w:r>
        <w:rPr>
          <w:color w:val="1F2937"/>
          <w:sz w:val="18"/>
        </w:rPr>
        <w:t>Définissez clairement le périmètre de l’audit avant la visite ou la revue afin d’éviter un contrôle trop général.</w:t>
      </w:r>
    </w:p>
    <w:p>
      <w:pPr>
        <w:pStyle w:val="ListBullet"/>
        <w:spacing w:after="40"/>
      </w:pPr>
      <w:r>
        <w:rPr>
          <w:color w:val="1F2937"/>
          <w:sz w:val="18"/>
        </w:rPr>
        <w:t>Reliez l’audit à des critères explicites : procédures internes, exigences ISO, exigences réglementaires ou constats d’audits précédents.</w:t>
      </w:r>
    </w:p>
    <w:p>
      <w:pPr>
        <w:pStyle w:val="ListBullet"/>
        <w:spacing w:after="40"/>
      </w:pPr>
      <w:r>
        <w:rPr>
          <w:color w:val="1F2937"/>
          <w:sz w:val="18"/>
        </w:rPr>
        <w:t>Répartissez les rôles au sein de l’équipe d’audit et désignez l’auditeur responsable de chaque processus ou service.</w:t>
      </w:r>
    </w:p>
    <w:p>
      <w:pPr>
        <w:pStyle w:val="ListBullet"/>
        <w:spacing w:after="40"/>
      </w:pPr>
      <w:r>
        <w:rPr>
          <w:color w:val="1F2937"/>
          <w:sz w:val="18"/>
        </w:rPr>
        <w:t>Ne vous limitez pas à relever des constats : rattachez chaque résultat à une action corrective ou à une opportunité d’amélioration pouvant être suivie.</w:t>
      </w:r>
    </w:p>
    <w:p>
      <w:pPr>
        <w:spacing w:before="160" w:after="80"/>
      </w:pPr>
      <w:r>
        <w:rPr>
          <w:b/>
          <w:color w:val="0B2A4A"/>
          <w:sz w:val="26"/>
        </w:rPr>
        <w:t>1. Informations générales sur le plan d’audit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blHeader w:val="true"/>
        </w:trPr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6236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Nom de l’organisation / service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Intitulé du plan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Plan d’audit interne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Période couverte par le plan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Date de préparation du plan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Préparé par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Numéro de version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Date de dernière mise à jour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Instance ou personne approbatrice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2. Objectifs de l’audit interne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rPr>
          <w:tblHeader w:val="true"/>
        </w:trPr>
        <w:tc>
          <w:tcPr>
            <w:tcW w:type="dxa" w:w="567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N°</w:t>
            </w:r>
          </w:p>
        </w:tc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Objectif de l’audit</w:t>
            </w:r>
          </w:p>
        </w:tc>
        <w:tc>
          <w:tcPr>
            <w:tcW w:type="dxa" w:w="5669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Précision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1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Vérifier la conformité aux procédures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S’assurer que les activités sont réalisées conformément aux procédures et modèles approuvés.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2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Identifier les non-conformités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Repérer les écarts ou les déviations par rapport aux exigences applicables.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3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Évaluer l’efficacité du système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Déterminer si le système atteint son objectif ou nécessite une amélioration.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4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Soutenir l’amélioration continue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Identifier des opportunités d’amélioration concrètes et applicables.</w:t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3. Périmètre de l’audit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blHeader w:val="true"/>
        </w:trPr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6236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Directions / processus inclus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Sites ou lieux inclus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Systèmes ou référentiels concernés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ISO 9001 / ISO 14001 / ISO 45001 / procédures internes / autre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Période de réalisation de l’audit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Ce qui n’est pas inclus dans l’audit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Contraintes ou remarques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4. Critères d’audit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rPr>
          <w:tblHeader w:val="true"/>
        </w:trPr>
        <w:tc>
          <w:tcPr>
            <w:tcW w:type="dxa" w:w="567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3969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Critère d’audit</w:t>
            </w:r>
          </w:p>
        </w:tc>
        <w:tc>
          <w:tcPr>
            <w:tcW w:type="dxa" w:w="51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Référence utilisée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1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Politique ou procédure interne</w:t>
            </w:r>
          </w:p>
        </w:tc>
        <w:tc>
          <w:tcPr>
            <w:tcW w:type="dxa" w:w="51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2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Exigences d’un référentiel ISO</w:t>
            </w:r>
          </w:p>
        </w:tc>
        <w:tc>
          <w:tcPr>
            <w:tcW w:type="dxa" w:w="51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3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Exigences réglementaires ou contractuelles</w:t>
            </w:r>
          </w:p>
        </w:tc>
        <w:tc>
          <w:tcPr>
            <w:tcW w:type="dxa" w:w="51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4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Objectifs ou indicateurs de performance</w:t>
            </w:r>
          </w:p>
        </w:tc>
        <w:tc>
          <w:tcPr>
            <w:tcW w:type="dxa" w:w="51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5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  <w:t>Constats d’un audit précédent</w:t>
            </w:r>
          </w:p>
        </w:tc>
        <w:tc>
          <w:tcPr>
            <w:tcW w:type="dxa" w:w="51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7"/>
              </w:rPr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5. Équipe d’audit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5"/>
        <w:gridCol w:w="2075"/>
        <w:gridCol w:w="2075"/>
        <w:gridCol w:w="2075"/>
        <w:gridCol w:w="2075"/>
      </w:tblGrid>
      <w:tr>
        <w:trPr>
          <w:tblHeader w:val="true"/>
        </w:trPr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Nom</w:t>
            </w:r>
          </w:p>
        </w:tc>
        <w:tc>
          <w:tcPr>
            <w:tcW w:type="dxa" w:w="2268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Rôle</w:t>
            </w:r>
          </w:p>
        </w:tc>
        <w:tc>
          <w:tcPr>
            <w:tcW w:type="dxa" w:w="2268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Service / entité</w:t>
            </w:r>
          </w:p>
        </w:tc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Responsabilités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Remarques</w:t>
            </w:r>
          </w:p>
        </w:tc>
      </w:tr>
      <w:tr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Responsable de l’équipe d’audit</w:t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Préparer le plan, coordonner l’audit, valider le rapport initial.</w:t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Auditeur interne</w:t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Réaliser l’audit, collecter les preuves, documenter les constats.</w:t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Observateur / stagiaire</w:t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Appuyer l’équipe ou participer à des fins d’apprentissage.</w:t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</w:tbl>
    <w:p/>
    <w:p>
      <w:pPr>
        <w:sectPr>
          <w:pgSz w:w="11906" w:h="16838"/>
          <w:pgMar w:top="709" w:right="765" w:bottom="709" w:left="765" w:header="720" w:footer="720" w:gutter="0"/>
          <w:cols w:space="720"/>
          <w:docGrid w:linePitch="360"/>
        </w:sectPr>
      </w:pPr>
    </w:p>
    <w:p>
      <w:pPr>
        <w:spacing w:before="160" w:after="80"/>
      </w:pPr>
      <w:r>
        <w:rPr>
          <w:b/>
          <w:color w:val="0B2A4A"/>
          <w:sz w:val="26"/>
        </w:rPr>
        <w:t>6. Calendrier de l’audit interne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7"/>
        <w:gridCol w:w="2227"/>
        <w:gridCol w:w="2227"/>
        <w:gridCol w:w="2227"/>
        <w:gridCol w:w="2227"/>
        <w:gridCol w:w="2227"/>
        <w:gridCol w:w="2227"/>
      </w:tblGrid>
      <w:tr>
        <w:trPr>
          <w:tblHeader w:val="true"/>
        </w:trPr>
        <w:tc>
          <w:tcPr>
            <w:tcW w:type="dxa" w:w="567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55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Processus / service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de l’audit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Durée prévue</w:t>
            </w:r>
          </w:p>
        </w:tc>
        <w:tc>
          <w:tcPr>
            <w:tcW w:type="dxa" w:w="255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Auditeur responsable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Personne / entité concernée</w:t>
            </w:r>
          </w:p>
        </w:tc>
        <w:tc>
          <w:tcPr>
            <w:tcW w:type="dxa" w:w="2268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État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1</w:t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Planifié / réalisé / reporté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2</w:t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Planifié / réalisé / reporté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3</w:t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55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Planifié / réalisé / reporté</w:t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7. Questions ou axes principaux de l’audit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897"/>
        <w:gridCol w:w="3897"/>
        <w:gridCol w:w="3897"/>
        <w:gridCol w:w="3897"/>
      </w:tblGrid>
      <w:tr>
        <w:trPr>
          <w:tblHeader w:val="true"/>
        </w:trPr>
        <w:tc>
          <w:tcPr>
            <w:tcW w:type="dxa" w:w="567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Axe d’audit</w:t>
            </w:r>
          </w:p>
        </w:tc>
        <w:tc>
          <w:tcPr>
            <w:tcW w:type="dxa" w:w="5669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Questions indicatives</w:t>
            </w:r>
          </w:p>
        </w:tc>
        <w:tc>
          <w:tcPr>
            <w:tcW w:type="dxa" w:w="45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Preuves attendues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Respect des procédures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La procédure est-elle appliquée conformément à la version approuvée ?</w:t>
            </w:r>
          </w:p>
        </w:tc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Modèles, enregistrements, entretiens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Clarté des responsabilités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Les personnes concernées connaissent-elles leurs rôles ?</w:t>
            </w:r>
          </w:p>
        </w:tc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Descriptions de poste, pouvoirs, entretiens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Gestion documentaire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Les documents sont-ils à jour, disponibles et maîtrisés ?</w:t>
            </w:r>
          </w:p>
        </w:tc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Listes de documents, versions, registres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4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Mesure de la performance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Existe-t-il des indicateurs et un suivi régulier ?</w:t>
            </w:r>
          </w:p>
        </w:tc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Rapports de performance, tableaux de bord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5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Actions correctives</w:t>
            </w:r>
          </w:p>
        </w:tc>
        <w:tc>
          <w:tcPr>
            <w:tcW w:type="dxa" w:w="56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Les constats précédents ont-ils été traités efficacement ?</w:t>
            </w:r>
          </w:p>
        </w:tc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Registre d’actions correctives, preuves de clôture</w:t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8. Méthodologie de collecte des preuves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97"/>
        <w:gridCol w:w="5197"/>
        <w:gridCol w:w="5197"/>
      </w:tblGrid>
      <w:tr>
        <w:trPr>
          <w:tblHeader w:val="true"/>
        </w:trPr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Méthode de collecte</w:t>
            </w:r>
          </w:p>
        </w:tc>
        <w:tc>
          <w:tcPr>
            <w:tcW w:type="dxa" w:w="6236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Quand l’utiliser ?</w:t>
            </w:r>
          </w:p>
        </w:tc>
        <w:tc>
          <w:tcPr>
            <w:tcW w:type="dxa" w:w="3969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Remarques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Revue documentaire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Pour vérifier les politiques, procédures et enregistrements.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Entretiens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Pour comprendre l’application réelle des exigences.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Observation directe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Pour suivre l’exécution d’une activité ou d’un processus.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Échantillonnage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Lorsque le volume d’enregistrements est important.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Revue des systèmes</w:t>
            </w:r>
          </w:p>
        </w:tc>
        <w:tc>
          <w:tcPr>
            <w:tcW w:type="dxa" w:w="6236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Lorsque les données ou rapports sont numériques.</w:t>
            </w:r>
          </w:p>
        </w:tc>
        <w:tc>
          <w:tcPr>
            <w:tcW w:type="dxa" w:w="3969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9. Classification des résultats d’audit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97"/>
        <w:gridCol w:w="5197"/>
        <w:gridCol w:w="5197"/>
      </w:tblGrid>
      <w:tr>
        <w:trPr>
          <w:tblHeader w:val="true"/>
        </w:trPr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Classification</w:t>
            </w:r>
          </w:p>
        </w:tc>
        <w:tc>
          <w:tcPr>
            <w:tcW w:type="dxa" w:w="6803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Description</w:t>
            </w:r>
          </w:p>
        </w:tc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Action attendue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Conformité</w:t>
            </w:r>
          </w:p>
        </w:tc>
        <w:tc>
          <w:tcPr>
            <w:tcW w:type="dxa" w:w="6803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L’application est conforme aux exigences.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Documenter le résultat uniquement.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Observation</w:t>
            </w:r>
          </w:p>
        </w:tc>
        <w:tc>
          <w:tcPr>
            <w:tcW w:type="dxa" w:w="6803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Un point nécessite une attention sans constituer une non-conformité claire.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Suivi ou amélioration.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Non-conformité mineure</w:t>
            </w:r>
          </w:p>
        </w:tc>
        <w:tc>
          <w:tcPr>
            <w:tcW w:type="dxa" w:w="6803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Écart limité qui n’affecte pas de manière significative le système.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Action corrective.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Non-conformité majeure</w:t>
            </w:r>
          </w:p>
        </w:tc>
        <w:tc>
          <w:tcPr>
            <w:tcW w:type="dxa" w:w="6803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Écart important, récurrent ou absence d’application d’une exigence essentielle.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Action corrective urgente et suivi.</w:t>
            </w:r>
          </w:p>
        </w:tc>
      </w:tr>
      <w:tr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Opportunité d’amélioration</w:t>
            </w:r>
          </w:p>
        </w:tc>
        <w:tc>
          <w:tcPr>
            <w:tcW w:type="dxa" w:w="6803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Suggestion visant à améliorer l’efficacité ou l’efficience.</w:t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Étudier et appliquer si pertinent.</w:t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10. Livrables de l’audit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897"/>
        <w:gridCol w:w="3897"/>
        <w:gridCol w:w="3897"/>
        <w:gridCol w:w="3897"/>
      </w:tblGrid>
      <w:tr>
        <w:trPr>
          <w:tblHeader w:val="true"/>
        </w:trPr>
        <w:tc>
          <w:tcPr>
            <w:tcW w:type="dxa" w:w="45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Livrable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Responsable</w:t>
            </w:r>
          </w:p>
        </w:tc>
        <w:tc>
          <w:tcPr>
            <w:tcW w:type="dxa" w:w="3402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Date prévue de finalisation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Remarques</w:t>
            </w:r>
          </w:p>
        </w:tc>
      </w:tr>
      <w:tr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Plan d’audit approuvé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Listes de vérification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Registre des constats et non-conformités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Rapport d’audit interne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45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  <w:t>Registre des actions correctives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5"/>
              </w:rPr>
            </w:r>
          </w:p>
        </w:tc>
      </w:tr>
    </w:tbl>
    <w:p/>
    <w:p>
      <w:pPr>
        <w:spacing w:before="160" w:after="80"/>
      </w:pPr>
      <w:r>
        <w:rPr>
          <w:b/>
          <w:color w:val="0B2A4A"/>
          <w:sz w:val="26"/>
        </w:rPr>
        <w:t>11. Suivi après audit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7"/>
        <w:gridCol w:w="2227"/>
        <w:gridCol w:w="2227"/>
        <w:gridCol w:w="2227"/>
        <w:gridCol w:w="2227"/>
        <w:gridCol w:w="2227"/>
        <w:gridCol w:w="2227"/>
      </w:tblGrid>
      <w:tr>
        <w:trPr>
          <w:tblHeader w:val="true"/>
        </w:trPr>
        <w:tc>
          <w:tcPr>
            <w:tcW w:type="dxa" w:w="567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Observation / non-conformité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Action attendue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Échéance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Méthode de vérification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État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1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Revue de preuve / entretien / audit de suivi</w:t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Ouvert / fermé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2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Ouvert / fermé</w:t>
            </w:r>
          </w:p>
        </w:tc>
      </w:tr>
      <w:tr>
        <w:tc>
          <w:tcPr>
            <w:tcW w:type="dxa" w:w="567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3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4"/>
              </w:rPr>
              <w:t>Ouvert / fermé</w:t>
            </w:r>
          </w:p>
        </w:tc>
      </w:tr>
    </w:tbl>
    <w:p/>
    <w:p>
      <w:pPr>
        <w:sectPr>
          <w:type w:val="nextColumn"/>
          <w:pgSz w:w="16838" w:h="11906" w:orient="landscape"/>
          <w:pgMar w:top="624" w:right="624" w:bottom="624" w:left="624" w:header="720" w:footer="720" w:gutter="0"/>
          <w:cols w:space="720"/>
          <w:docGrid w:linePitch="360"/>
        </w:sectPr>
      </w:pPr>
    </w:p>
    <w:p>
      <w:pPr>
        <w:spacing w:before="160" w:after="80"/>
      </w:pPr>
      <w:r>
        <w:rPr>
          <w:b/>
          <w:color w:val="0B2A4A"/>
          <w:sz w:val="26"/>
        </w:rPr>
        <w:t>12.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</w:t>
            </w:r>
          </w:p>
        </w:tc>
        <w:tc>
          <w:tcPr>
            <w:tcW w:type="dxa" w:w="2835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2268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1701"/>
            <w:shd w:fill="0B2A4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Préparateur du plan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Responsable de l’équipe d’audit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  <w:t>Représentant de la direction / entité approbatrice</w:t>
            </w:r>
          </w:p>
        </w:tc>
        <w:tc>
          <w:tcPr>
            <w:tcW w:type="dxa" w:w="2835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shd w:fill="FFFFFF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  <w:insideH w:val="single" w:sz="6" w:space="0" w:color="D9E2EC"/>
              <w:insideV w:val="single" w:sz="6" w:space="0" w:color="D9E2EC"/>
            </w:tcBorders>
            <w:vAlign w:val="center"/>
          </w:tcPr>
          <w:p>
            <w:pPr>
              <w:jc w:val="left"/>
            </w:pPr>
            <w:r/>
            <w:r>
              <w:rPr>
                <w:b w:val="0"/>
                <w:color w:val="1F2937"/>
                <w:sz w:val="16"/>
              </w:rPr>
            </w:r>
          </w:p>
        </w:tc>
      </w:tr>
    </w:tbl>
    <w:p/>
    <w:p>
      <w:pPr>
        <w:jc w:val="center"/>
      </w:pPr>
      <w:r>
        <w:rPr>
          <w:b/>
          <w:color w:val="0B2A4A"/>
          <w:sz w:val="18"/>
        </w:rPr>
        <w:t>Modèle de plan d’audit interne – Version modifiable</w:t>
      </w:r>
    </w:p>
    <w:p>
      <w:pPr>
        <w:jc w:val="center"/>
      </w:pPr>
      <w:r>
        <w:rPr>
          <w:color w:val="1F2937"/>
          <w:sz w:val="16"/>
        </w:rPr>
        <w:t>ConsuTrain – Modèle pratique à adapter selon le contexte de l’organisation.</w:t>
      </w:r>
    </w:p>
    <w:sectPr w:rsidR="00FC693F" w:rsidRPr="0006063C" w:rsidSect="00034616">
      <w:type w:val="continuous"/>
      <w:pgSz w:w="11906" w:h="16838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plan d’audit interne</dc:title>
  <dc:subject>Audit interne, qualité, ISO, amélioration continue</dc:subject>
  <dc:creator>ConsuTrain</dc:creator>
  <cp:keywords/>
  <dc:description>Modèle pratique ConsuTrain en français.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