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D4961F"/>
          <w:sz w:val="22"/>
        </w:rPr>
        <w:t>ConsuTrain | Modèle gratuit</w:t>
      </w:r>
    </w:p>
    <w:p>
      <w:pPr>
        <w:jc w:val="left"/>
      </w:pPr>
      <w:r>
        <w:rPr>
          <w:b/>
          <w:color w:val="17365D"/>
          <w:sz w:val="44"/>
        </w:rPr>
        <w:t>Modèle d’analyse de marché</w:t>
      </w:r>
    </w:p>
    <w:p>
      <w:r>
        <w:rPr>
          <w:sz w:val="21"/>
        </w:rPr>
        <w:t>Modèle pratique pour comprendre le marché cible avant de préparer une étude de faisabilité : clients, besoins, taille du marché, concurrence, prix, canaux d’accès, facteurs d’influence et test initial du marché.</w:t>
      </w:r>
    </w:p>
    <w:p>
      <w:pPr>
        <w:pStyle w:val="Heading1"/>
      </w:pPr>
      <w:r>
        <w:rPr>
          <w:rFonts w:ascii="Calibri" w:hAnsi="Calibri"/>
          <w:color w:val="17365D"/>
          <w:sz w:val="30"/>
        </w:rPr>
        <w:t>Mode d’utilisation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Utilisez ce modèle avant de lancer une étude de faisabilité complète ou avant de valider une idée de projet.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Ne vous limitez pas aux impressions générales : appuyez chaque conclusion sur des observations, entretiens, données ou tests simples.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Renseignez les hypothèses de marché, puis vérifiez-les progressivement auprès de clients potentiels.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Actualisez le modèle lorsque de nouvelles informations apparaissent sur les clients, les prix, les concurrents ou les canaux de vente.</w:t>
      </w:r>
    </w:p>
    <w:p>
      <w:pPr>
        <w:pStyle w:val="Heading1"/>
      </w:pPr>
      <w:r>
        <w:rPr>
          <w:rFonts w:ascii="Calibri" w:hAnsi="Calibri"/>
          <w:color w:val="17365D"/>
          <w:sz w:val="30"/>
        </w:rPr>
        <w:t>1. Informations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1077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Nom du projet / de l’idée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Secteur ou domaine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Marché cible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Périmètre géographique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Date de préparation de l’analyse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Préparé par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Numéro de version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2. Description du marché cible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1077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Quel marché le projet vise-t-il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Nature des produits ou services sur ce marché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Le marché est-il local, régional ou international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Le marché est-il nouveau ou existant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Niveau de maturité du marché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Émergent / En croissance / Stable / En recul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3. Segments de clients cibles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96"/>
        <w:gridCol w:w="2896"/>
        <w:gridCol w:w="2896"/>
        <w:gridCol w:w="2896"/>
        <w:gridCol w:w="2896"/>
      </w:tblGrid>
      <w:tr>
        <w:tc>
          <w:tcPr>
            <w:tcW w:type="dxa" w:w="567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551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Segment cible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Description du segment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Besoin principal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Attractivité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1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Particuliers / Entreprises / Administrations / Étudiants / Familles / Autre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Élevée / Moyenne / Faible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2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3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4. Besoins et problèmes des clients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96"/>
        <w:gridCol w:w="2896"/>
        <w:gridCol w:w="2896"/>
        <w:gridCol w:w="2896"/>
        <w:gridCol w:w="2896"/>
      </w:tblGrid>
      <w:tr>
        <w:tc>
          <w:tcPr>
            <w:tcW w:type="dxa" w:w="567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Besoin / problème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Qui est concerné ?</w:t>
            </w:r>
          </w:p>
        </w:tc>
        <w:tc>
          <w:tcPr>
            <w:tcW w:type="dxa" w:w="2551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Intensité du besoin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Le client paie-t-il pour la solution ?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1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Élevée / Moyenne / Faible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Oui / Non / Incertain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2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3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5. Taille du marché et tendance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1077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Taille du marché estimée à titre préliminaire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Tendance du marché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En croissance / Stable / En recul / Incertaine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Taux de croissance attendu, si disponible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Principaux facteurs qui soutiennent la croissance du marché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Principaux facteurs pouvant limiter la croissance du marché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6. Analyse des concurrents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3"/>
        <w:gridCol w:w="2413"/>
        <w:gridCol w:w="2413"/>
        <w:gridCol w:w="2413"/>
        <w:gridCol w:w="2413"/>
        <w:gridCol w:w="2413"/>
      </w:tblGrid>
      <w:tr>
        <w:tc>
          <w:tcPr>
            <w:tcW w:type="dxa" w:w="567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551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Concurrent / alternative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Que propose-t-il ?</w:t>
            </w:r>
          </w:p>
        </w:tc>
        <w:tc>
          <w:tcPr>
            <w:tcW w:type="dxa" w:w="2551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Points forts</w:t>
            </w:r>
          </w:p>
        </w:tc>
        <w:tc>
          <w:tcPr>
            <w:tcW w:type="dxa" w:w="2551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Points faibles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Opportunité de différenciation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1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2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3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7. Analyse des prix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96"/>
        <w:gridCol w:w="2896"/>
        <w:gridCol w:w="2896"/>
        <w:gridCol w:w="2896"/>
        <w:gridCol w:w="2896"/>
      </w:tblGrid>
      <w:tr>
        <w:tc>
          <w:tcPr>
            <w:tcW w:type="dxa" w:w="567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Produit / service similaire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Prix approximatif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Mode de tarification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1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Vente directe / Abonnement / Forfait / Commission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2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3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8. Canaux d’accès aux clients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Canal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Niveau de pertinence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Coût estimé</w:t>
            </w:r>
          </w:p>
        </w:tc>
        <w:tc>
          <w:tcPr>
            <w:tcW w:type="dxa" w:w="45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Réseaux sociaux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Élevée / Moyenne / Faible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Site web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Publicité payante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Partenariats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Vente directe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Salons ou événements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9. Facteurs d’influence sur le marché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Facteur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Impact potentiel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Opportunité ou menace ?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Action proposée</w:t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Facteurs économiques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Opportunité / Menace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Facteurs technologiques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Facteurs sociaux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Facteurs juridiques ou réglementaires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Facteurs saisonniers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10. Estimation préliminaire de la demande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1077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Existe-t-il des signaux de demande réelle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Oui / Non / Incertain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Quelle preuve initiale montre l’existence de la demande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La demande est-elle saisonnière ou continue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Quel segment est le plus susceptible d’acheter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Quels facteurs peuvent augmenter la demande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Quels facteurs peuvent réduire la demande ?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11. Test initial du marché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1077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Méthode de test proposée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Questionnaire / Entretiens / Page d’atterrissage / Vente test</w:t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Nombre de clients potentiels à tester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Principales questions à tester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Critère de réussite du test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Calibri" w:hAnsi="Calibri"/>
                <w:b w:val="0"/>
                <w:sz w:val="16"/>
              </w:rPr>
              <w:t>Décision après le test</w:t>
            </w:r>
          </w:p>
        </w:tc>
        <w:tc>
          <w:tcPr>
            <w:tcW w:type="dxa" w:w="1077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Continuer / Ajuster / Réétudier / Suspendre temporairement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12. Synthèse de l’analyse de marché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c>
          <w:tcPr>
            <w:tcW w:type="dxa" w:w="510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9071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Évaluation</w:t>
            </w:r>
          </w:p>
        </w:tc>
      </w:tr>
      <w:tr>
        <w:tc>
          <w:tcPr>
            <w:tcW w:type="dxa" w:w="51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Attractivité du marché</w:t>
            </w:r>
          </w:p>
        </w:tc>
        <w:tc>
          <w:tcPr>
            <w:tcW w:type="dxa" w:w="907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Élevée / Moyenne / Faible</w:t>
            </w:r>
          </w:p>
        </w:tc>
      </w:tr>
      <w:tr>
        <w:tc>
          <w:tcPr>
            <w:tcW w:type="dxa" w:w="51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Clarté du segment cible</w:t>
            </w:r>
          </w:p>
        </w:tc>
        <w:tc>
          <w:tcPr>
            <w:tcW w:type="dxa" w:w="907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Claire / À améliorer</w:t>
            </w:r>
          </w:p>
        </w:tc>
      </w:tr>
      <w:tr>
        <w:tc>
          <w:tcPr>
            <w:tcW w:type="dxa" w:w="51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Intensité de la concurrence</w:t>
            </w:r>
          </w:p>
        </w:tc>
        <w:tc>
          <w:tcPr>
            <w:tcW w:type="dxa" w:w="907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Élevée / Moyenne / Faible</w:t>
            </w:r>
          </w:p>
        </w:tc>
      </w:tr>
      <w:tr>
        <w:tc>
          <w:tcPr>
            <w:tcW w:type="dxa" w:w="51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Opportunité de différenciation</w:t>
            </w:r>
          </w:p>
        </w:tc>
        <w:tc>
          <w:tcPr>
            <w:tcW w:type="dxa" w:w="907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Forte / Moyenne / Faible</w:t>
            </w:r>
          </w:p>
        </w:tc>
      </w:tr>
      <w:tr>
        <w:tc>
          <w:tcPr>
            <w:tcW w:type="dxa" w:w="51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Niveau de risque de marché</w:t>
            </w:r>
          </w:p>
        </w:tc>
        <w:tc>
          <w:tcPr>
            <w:tcW w:type="dxa" w:w="907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Élevé / Moyen / Faible</w:t>
            </w:r>
          </w:p>
        </w:tc>
      </w:tr>
      <w:tr>
        <w:tc>
          <w:tcPr>
            <w:tcW w:type="dxa" w:w="5102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Recommandation préliminaire</w:t>
            </w:r>
          </w:p>
        </w:tc>
        <w:tc>
          <w:tcPr>
            <w:tcW w:type="dxa" w:w="9071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Continuer / Ajuster / Étude approfondie / Suspendre temporairement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13.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Nom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Préparé par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Revu par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  <w:t>Décideur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17365D"/>
          <w:sz w:val="30"/>
        </w:rPr>
        <w:t>Annexe pratique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Un marché attractif ne suffit pas : vérifiez que votre offre répond à un besoin précis et solvable.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Ne confondez pas taille du marché et part réellement accessible pour votre projet.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Comparez toujours votre idée avec les alternatives déjà utilisées par les clients.</w:t>
      </w:r>
    </w:p>
    <w:p>
      <w:pPr>
        <w:pStyle w:val="ListBullet"/>
        <w:ind w:left="283"/>
      </w:pPr>
      <w:r>
        <w:rPr>
          <w:rFonts w:ascii="Calibri" w:hAnsi="Calibri"/>
          <w:sz w:val="19"/>
        </w:rPr>
        <w:t>Testez rapidement les hypothèses de prix, de besoin et de canal avant d’investir fortement.</w:t>
      </w:r>
    </w:p>
    <w:p>
      <w:pPr>
        <w:jc w:val="center"/>
      </w:pPr>
      <w:r>
        <w:rPr>
          <w:i/>
          <w:color w:val="5A5A5A"/>
          <w:sz w:val="18"/>
        </w:rPr>
        <w:t>Modèle d’analyse de marché – Version modifiable</w:t>
        <w:br/>
        <w:t>ConsuTrain – Modèle pratique à adapter selon le contexte de l’organisation.</w:t>
      </w:r>
    </w:p>
    <w:sectPr w:rsidR="00FC693F" w:rsidRPr="0006063C" w:rsidSect="00034616">
      <w:pgSz w:w="15840" w:h="12240" w:orient="landscape"/>
      <w:pgMar w:top="737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7365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d’analyse de marché</dc:title>
  <dc:subject>Ressource ConsuTrain</dc:subject>
  <dc:creator>ConsuTrain</dc:creator>
  <cp:keywords/>
  <dc:description>Modèle pratique en français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